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000000">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000000">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000000">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000000">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000000">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000000">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000000">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000000">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000000">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000000">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000000">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000000">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000000">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000000">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000000">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000000">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000000">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000000">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000000">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000000">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000000">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000000">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000000">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000000">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000000">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000000">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000000">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000000">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000000">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000000">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000000">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000000">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000000">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000000">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000000">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000000">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000000">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000000">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000000">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000000">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000000">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000000">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000000">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000000">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000000">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000000">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665"/>
        <w:gridCol w:w="5238"/>
        <w:gridCol w:w="245"/>
        <w:gridCol w:w="216"/>
        <w:gridCol w:w="4092"/>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E29DC4A" w:rsidR="00093CA9" w:rsidRDefault="00CF6477" w:rsidP="00093CA9">
            <w:r>
              <w:t>Cleary Gottlieb Steen &amp; Hamilton LLP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5DF69C59" w:rsidR="00093CA9" w:rsidRDefault="006840CD" w:rsidP="00093CA9">
            <w:r>
              <w:t>E</w:t>
            </w:r>
            <w:r w:rsidR="007468D4">
              <w:t>uropean Union</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1AAC4083" w:rsidR="00093CA9" w:rsidRDefault="00AB0A78" w:rsidP="00093CA9">
            <w:r w:rsidRPr="00AB0A78">
              <w:t>ECB 2022 climate risk stress test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0C422F54" w:rsidR="00093CA9" w:rsidRDefault="00000000" w:rsidP="00093CA9">
            <w:hyperlink r:id="rId17" w:history="1">
              <w:r w:rsidR="00CF6477" w:rsidRPr="00851912">
                <w:rPr>
                  <w:rStyle w:val="Hyperlink"/>
                </w:rPr>
                <w:t>https://web.archive.org/web/20250710121107/https://www.bankingsupervision.europa.eu/ecb/pub/pdf/ssm.climate</w:t>
              </w:r>
              <w:r w:rsidR="00CF6477" w:rsidRPr="00851912">
                <w:rPr>
                  <w:rStyle w:val="Hyperlink"/>
                </w:rPr>
                <w:t>_</w:t>
              </w:r>
              <w:r w:rsidR="00CF6477" w:rsidRPr="00851912">
                <w:rPr>
                  <w:rStyle w:val="Hyperlink"/>
                </w:rPr>
                <w:t>stress_test_report.20220708~2e3cc0999f.en.pdf</w:t>
              </w:r>
            </w:hyperlink>
            <w:r w:rsidR="00CF6477">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37C98B62"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0F70BC81"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25D4869"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805BEAC" w:rsidR="00093CA9" w:rsidRDefault="001608AD"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1AA5F774" w:rsidR="00093CA9" w:rsidRDefault="00CF6477" w:rsidP="00093CA9">
            <w:r w:rsidRPr="00CF6477">
              <w:t>This policy tool summarizes the main findings of the ECB’s 2022 climate stress test. It includes (i) qualitative findings on banks’ climate risk stress-testing capabilities and the extent to which climate risk is incorporated into their business strategies, (ii) quantitative findings covering banks’ exposures to and income generated from more carbon-intensive industries</w:t>
            </w:r>
            <w:r w:rsidR="004529C3">
              <w:t xml:space="preserve">, as well as results from </w:t>
            </w:r>
            <w:r w:rsidRPr="00CF6477">
              <w:t xml:space="preserve">scenario analyses focusing on transition and physical risks, and (iii) banks’ </w:t>
            </w:r>
            <w:proofErr w:type="gramStart"/>
            <w:r w:rsidRPr="00CF6477">
              <w:t>future plans</w:t>
            </w:r>
            <w:proofErr w:type="gramEnd"/>
            <w:r w:rsidRPr="00CF6477">
              <w:t xml:space="preserve"> for financing the green transition.</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7777777" w:rsidR="00093CA9" w:rsidRDefault="00093CA9" w:rsidP="00093CA9"/>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6C12CFCA" w:rsidR="00093CA9" w:rsidRDefault="004529C3" w:rsidP="00093CA9">
            <w:r>
              <w:t>X</w:t>
            </w:r>
          </w:p>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567B892C" w:rsidR="00093CA9" w:rsidRDefault="004529C3" w:rsidP="00093CA9">
            <w:r w:rsidRPr="004529C3">
              <w:t>The 2022 ECB climate risk stress test (</w:t>
            </w:r>
            <w:r w:rsidR="007468D4">
              <w:t>“</w:t>
            </w:r>
            <w:r w:rsidRPr="004529C3">
              <w:t>CST</w:t>
            </w:r>
            <w:r w:rsidR="007468D4">
              <w:t>”</w:t>
            </w:r>
            <w:r w:rsidRPr="004529C3">
              <w:t>) is a</w:t>
            </w:r>
            <w:r w:rsidR="00FC378D">
              <w:t>n information-gathering</w:t>
            </w:r>
            <w:r w:rsidRPr="004529C3">
              <w:t xml:space="preserve"> exercise aimed at assessing the climate risk preparedness of banks, </w:t>
            </w:r>
            <w:r>
              <w:t xml:space="preserve">thus informing </w:t>
            </w:r>
            <w:r w:rsidRPr="004529C3">
              <w:t>future supervisory expectations.</w:t>
            </w:r>
            <w:r w:rsidR="00A374F2">
              <w:t xml:space="preserve"> </w:t>
            </w:r>
            <w:r w:rsidR="00A374F2" w:rsidRPr="00A374F2">
              <w:t>This policy tool is a mandatory annual exercise as part of the Supervisory Review and Evaluation (“SREP”) process, as set out in Article 100 of the Capital Requirements Directive (“CRD IV”).</w:t>
            </w:r>
            <w:r w:rsidR="00A374F2">
              <w:t xml:space="preserve"> </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5E952455" w:rsidR="00093CA9" w:rsidRPr="00173D7C" w:rsidRDefault="004529C3" w:rsidP="00093CA9">
            <w:pPr>
              <w:rPr>
                <w:color w:val="000000" w:themeColor="text1"/>
              </w:rPr>
            </w:pPr>
            <w:r>
              <w:rPr>
                <w:color w:val="000000" w:themeColor="text1"/>
              </w:rP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3BF67881" w:rsidR="00093CA9" w:rsidRPr="00173D7C" w:rsidRDefault="000B527D" w:rsidP="00093CA9">
            <w:pPr>
              <w:rPr>
                <w:color w:val="000000" w:themeColor="text1"/>
              </w:rPr>
            </w:pPr>
            <w:r>
              <w:rPr>
                <w:color w:val="000000" w:themeColor="text1"/>
              </w:rPr>
              <w:t>N/A</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01C558BE" w:rsidR="00093CA9" w:rsidRDefault="00A374F2" w:rsidP="00093CA9">
            <w:r w:rsidRPr="00A374F2">
              <w:t>Independent supervisory body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312EA245" w:rsidR="00093CA9" w:rsidRPr="006B7B0D" w:rsidRDefault="00A374F2" w:rsidP="00093CA9">
            <w:r w:rsidRPr="00A374F2">
              <w:t>European Central Bank (“ECB”)</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6513FBB1" w:rsidR="00093CA9" w:rsidRPr="006B7B0D" w:rsidRDefault="00A374F2"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6B84A534"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5AC2B13A" w:rsidR="00093CA9" w:rsidRDefault="00A374F2" w:rsidP="00093CA9">
            <w:r w:rsidRPr="00A374F2">
              <w:t>The stress test is conducted by the ECB</w:t>
            </w:r>
            <w:r>
              <w:t xml:space="preserve"> entirely</w:t>
            </w:r>
            <w:r w:rsidRPr="00A374F2">
              <w:t>.</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60026C08" w:rsidR="00093CA9" w:rsidRDefault="009A0291"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11E6D83E"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57F760DF" w:rsidR="00093CA9" w:rsidRPr="008017F9" w:rsidRDefault="00093CA9" w:rsidP="00A374F2">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7468D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7468D4" w:rsidRDefault="00107CE2" w:rsidP="00DD3144">
            <w:pPr>
              <w:rPr>
                <w:lang w:val="fr-FR"/>
              </w:rPr>
            </w:pPr>
            <w:r w:rsidRPr="007468D4">
              <w:rPr>
                <w:lang w:val="fr-FR"/>
              </w:rPr>
              <w:t>Minimum revenue (Enter minimum revenue)</w:t>
            </w:r>
          </w:p>
        </w:tc>
        <w:tc>
          <w:tcPr>
            <w:tcW w:w="4910" w:type="dxa"/>
            <w:gridSpan w:val="7"/>
            <w:shd w:val="clear" w:color="auto" w:fill="auto"/>
            <w:vAlign w:val="center"/>
          </w:tcPr>
          <w:p w14:paraId="2518BD70" w14:textId="77777777" w:rsidR="00524D54" w:rsidRPr="007468D4" w:rsidRDefault="00524D54" w:rsidP="00DD3144">
            <w:pPr>
              <w:rPr>
                <w:lang w:val="fr-FR"/>
              </w:rPr>
            </w:pPr>
          </w:p>
        </w:tc>
      </w:tr>
      <w:tr w:rsidR="00524D54" w:rsidRPr="006840C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rsidRPr="007468D4"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Pr="007468D4" w:rsidRDefault="00B0479E" w:rsidP="00DD3144">
            <w:pPr>
              <w:rPr>
                <w:lang w:val="fr-FR"/>
              </w:rPr>
            </w:pPr>
            <w:r w:rsidRPr="007468D4">
              <w:rPr>
                <w:rFonts w:ascii="Calibri" w:hAnsi="Calibri" w:cs="Calibri"/>
                <w:lang w:val="fr-FR"/>
              </w:rPr>
              <w:t xml:space="preserve">Carbon </w:t>
            </w:r>
            <w:proofErr w:type="spellStart"/>
            <w:r w:rsidRPr="007468D4">
              <w:rPr>
                <w:rFonts w:ascii="Calibri" w:hAnsi="Calibri" w:cs="Calibri"/>
                <w:lang w:val="fr-FR"/>
              </w:rPr>
              <w:t>dioxide</w:t>
            </w:r>
            <w:proofErr w:type="spellEnd"/>
            <w:r w:rsidRPr="007468D4">
              <w:rPr>
                <w:rFonts w:ascii="Calibri" w:hAnsi="Calibri" w:cs="Calibri"/>
                <w:lang w:val="fr-FR"/>
              </w:rPr>
              <w:t xml:space="preserve"> </w:t>
            </w:r>
            <w:proofErr w:type="spellStart"/>
            <w:r w:rsidRPr="007468D4">
              <w:rPr>
                <w:rFonts w:ascii="Calibri" w:hAnsi="Calibri" w:cs="Calibri"/>
                <w:lang w:val="fr-FR"/>
              </w:rPr>
              <w:t>equivalent</w:t>
            </w:r>
            <w:proofErr w:type="spellEnd"/>
            <w:r w:rsidRPr="007468D4">
              <w:rPr>
                <w:rFonts w:ascii="Calibri" w:hAnsi="Calibri" w:cs="Calibri"/>
                <w:lang w:val="fr-FR"/>
              </w:rPr>
              <w:t xml:space="preserve"> (</w:t>
            </w:r>
            <w:proofErr w:type="spellStart"/>
            <w:r w:rsidRPr="007468D4">
              <w:rPr>
                <w:rFonts w:ascii="Calibri" w:hAnsi="Calibri" w:cs="Calibri"/>
                <w:lang w:val="fr-FR"/>
              </w:rPr>
              <w:t>CO₂e</w:t>
            </w:r>
            <w:proofErr w:type="spellEnd"/>
            <w:r w:rsidRPr="007468D4">
              <w:rPr>
                <w:rFonts w:ascii="Calibri" w:hAnsi="Calibri" w:cs="Calibri"/>
                <w:lang w:val="fr-FR"/>
              </w:rPr>
              <w:t xml:space="preserve">) </w:t>
            </w:r>
          </w:p>
        </w:tc>
        <w:tc>
          <w:tcPr>
            <w:tcW w:w="3330" w:type="dxa"/>
            <w:gridSpan w:val="2"/>
            <w:shd w:val="clear" w:color="auto" w:fill="auto"/>
            <w:vAlign w:val="center"/>
          </w:tcPr>
          <w:p w14:paraId="7C41530E" w14:textId="769FE26A" w:rsidR="00B0479E" w:rsidRPr="007468D4" w:rsidRDefault="00B0479E" w:rsidP="00DD3144">
            <w:pPr>
              <w:rPr>
                <w:rFonts w:ascii="Calibri" w:hAnsi="Calibri" w:cs="Calibri"/>
                <w:lang w:val="fr-FR"/>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7468D4"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7468D4" w:rsidRDefault="004F276F" w:rsidP="00C37D48">
            <w:pPr>
              <w:rPr>
                <w:rFonts w:ascii="Calibri" w:hAnsi="Calibri" w:cs="Calibri"/>
                <w:lang w:val="fr-FR"/>
              </w:rPr>
            </w:pPr>
            <w:r w:rsidRPr="007468D4">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7468D4" w:rsidRDefault="004F276F" w:rsidP="00C37D48">
            <w:pPr>
              <w:rPr>
                <w:rFonts w:ascii="Calibri" w:hAnsi="Calibri" w:cs="Calibri"/>
                <w:lang w:val="fr-FR"/>
              </w:rPr>
            </w:pPr>
          </w:p>
        </w:tc>
      </w:tr>
      <w:tr w:rsidR="004F276F" w:rsidRPr="006840C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7468D4"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7468D4" w:rsidRDefault="003A2E5E" w:rsidP="00C37D48">
            <w:pPr>
              <w:rPr>
                <w:rFonts w:ascii="Calibri" w:hAnsi="Calibri" w:cs="Calibri"/>
                <w:lang w:val="fr-FR"/>
              </w:rPr>
            </w:pPr>
            <w:r w:rsidRPr="007468D4">
              <w:rPr>
                <w:rFonts w:ascii="Calibri" w:hAnsi="Calibri" w:cs="Calibri"/>
                <w:lang w:val="fr-FR"/>
              </w:rPr>
              <w:t xml:space="preserve">Carbon </w:t>
            </w:r>
            <w:proofErr w:type="spellStart"/>
            <w:r w:rsidRPr="007468D4">
              <w:rPr>
                <w:rFonts w:ascii="Calibri" w:hAnsi="Calibri" w:cs="Calibri"/>
                <w:lang w:val="fr-FR"/>
              </w:rPr>
              <w:t>dioxide</w:t>
            </w:r>
            <w:proofErr w:type="spellEnd"/>
            <w:r w:rsidRPr="007468D4">
              <w:rPr>
                <w:rFonts w:ascii="Calibri" w:hAnsi="Calibri" w:cs="Calibri"/>
                <w:lang w:val="fr-FR"/>
              </w:rPr>
              <w:t xml:space="preserve"> </w:t>
            </w:r>
            <w:proofErr w:type="spellStart"/>
            <w:r w:rsidRPr="007468D4">
              <w:rPr>
                <w:rFonts w:ascii="Calibri" w:hAnsi="Calibri" w:cs="Calibri"/>
                <w:lang w:val="fr-FR"/>
              </w:rPr>
              <w:t>equivalent</w:t>
            </w:r>
            <w:proofErr w:type="spellEnd"/>
            <w:r w:rsidRPr="007468D4">
              <w:rPr>
                <w:rFonts w:ascii="Calibri" w:hAnsi="Calibri" w:cs="Calibri"/>
                <w:lang w:val="fr-FR"/>
              </w:rPr>
              <w:t xml:space="preserve"> (</w:t>
            </w:r>
            <w:proofErr w:type="spellStart"/>
            <w:r w:rsidRPr="007468D4">
              <w:rPr>
                <w:rFonts w:ascii="Calibri" w:hAnsi="Calibri" w:cs="Calibri"/>
                <w:lang w:val="fr-FR"/>
              </w:rPr>
              <w:t>CO₂e</w:t>
            </w:r>
            <w:proofErr w:type="spellEnd"/>
            <w:r w:rsidRPr="007468D4">
              <w:rPr>
                <w:rFonts w:ascii="Calibri" w:hAnsi="Calibri" w:cs="Calibri"/>
                <w:lang w:val="fr-FR"/>
              </w:rPr>
              <w:t>)  </w:t>
            </w:r>
          </w:p>
        </w:tc>
        <w:tc>
          <w:tcPr>
            <w:tcW w:w="5300" w:type="dxa"/>
            <w:gridSpan w:val="3"/>
            <w:shd w:val="clear" w:color="auto" w:fill="auto"/>
            <w:vAlign w:val="center"/>
          </w:tcPr>
          <w:p w14:paraId="4064936F" w14:textId="77777777" w:rsidR="003A2E5E" w:rsidRPr="007468D4"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7468D4"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7468D4" w:rsidRDefault="00C66EE0" w:rsidP="00610F28">
            <w:pPr>
              <w:rPr>
                <w:rFonts w:ascii="Calibri" w:hAnsi="Calibri" w:cs="Calibri"/>
                <w:lang w:val="fr-FR"/>
              </w:rPr>
            </w:pPr>
            <w:r w:rsidRPr="007468D4">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7468D4" w:rsidRDefault="00C66EE0" w:rsidP="00610F28">
            <w:pPr>
              <w:rPr>
                <w:rFonts w:ascii="Calibri" w:hAnsi="Calibri" w:cs="Calibri"/>
                <w:lang w:val="fr-FR"/>
              </w:rPr>
            </w:pPr>
          </w:p>
        </w:tc>
      </w:tr>
      <w:tr w:rsidR="00241257" w:rsidRPr="006840C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7468D4"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7468D4" w:rsidRDefault="00092534" w:rsidP="00CF2E7C">
            <w:pPr>
              <w:rPr>
                <w:rFonts w:ascii="Calibri" w:hAnsi="Calibri" w:cs="Calibri"/>
                <w:lang w:val="fr-FR"/>
              </w:rPr>
            </w:pPr>
            <w:r w:rsidRPr="007468D4">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7468D4" w:rsidRDefault="00092534" w:rsidP="00CF2E7C">
            <w:pPr>
              <w:rPr>
                <w:rFonts w:ascii="Calibri" w:hAnsi="Calibri" w:cs="Calibri"/>
                <w:lang w:val="fr-FR"/>
              </w:rPr>
            </w:pPr>
          </w:p>
        </w:tc>
      </w:tr>
      <w:tr w:rsidR="00092534" w:rsidRPr="006840C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5892998B" w:rsidR="00D4323A" w:rsidRPr="00CF2E7C" w:rsidRDefault="009A0291" w:rsidP="00CF2E7C">
            <w:pPr>
              <w:rPr>
                <w:rFonts w:ascii="Calibri" w:hAnsi="Calibri" w:cs="Calibri"/>
              </w:rPr>
            </w:pPr>
            <w:r>
              <w:rPr>
                <w:rFonts w:ascii="Calibri" w:hAnsi="Calibri" w:cs="Calibri"/>
              </w:rPr>
              <w:t>X</w:t>
            </w: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0B195DDD" w:rsidR="00D4323A" w:rsidRPr="00CF2E7C" w:rsidRDefault="009A0291" w:rsidP="00CF2E7C">
            <w:pPr>
              <w:rPr>
                <w:rFonts w:ascii="Calibri" w:hAnsi="Calibri" w:cs="Calibri"/>
              </w:rPr>
            </w:pPr>
            <w:r>
              <w:rPr>
                <w:rFonts w:ascii="Calibri" w:hAnsi="Calibri" w:cs="Calibri"/>
              </w:rPr>
              <w:t>X</w:t>
            </w: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67329E21" w:rsidR="00D4323A" w:rsidRPr="00CF2E7C" w:rsidRDefault="009A0291" w:rsidP="00CF2E7C">
            <w:pPr>
              <w:rPr>
                <w:rFonts w:ascii="Calibri" w:hAnsi="Calibri" w:cs="Calibri"/>
              </w:rPr>
            </w:pPr>
            <w:r>
              <w:rPr>
                <w:rFonts w:ascii="Calibri" w:hAnsi="Calibri" w:cs="Calibri"/>
              </w:rPr>
              <w:t>X</w:t>
            </w: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1BE956B2" w:rsidR="00D4323A" w:rsidRPr="00CF2E7C" w:rsidRDefault="009A0291" w:rsidP="00CF2E7C">
            <w:pPr>
              <w:rPr>
                <w:rFonts w:ascii="Calibri" w:hAnsi="Calibri" w:cs="Calibri"/>
              </w:rPr>
            </w:pPr>
            <w:r>
              <w:rPr>
                <w:rFonts w:ascii="Calibri" w:hAnsi="Calibri" w:cs="Calibri"/>
              </w:rPr>
              <w:t>X</w:t>
            </w: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61AFA40F" w:rsidR="00D4323A" w:rsidRPr="00CF2E7C" w:rsidRDefault="009A0291" w:rsidP="00CF2E7C">
            <w:pPr>
              <w:rPr>
                <w:rFonts w:ascii="Calibri" w:hAnsi="Calibri" w:cs="Calibri"/>
              </w:rPr>
            </w:pPr>
            <w:r>
              <w:rPr>
                <w:rFonts w:ascii="Calibri" w:hAnsi="Calibri" w:cs="Calibri"/>
              </w:rPr>
              <w:t>X</w:t>
            </w: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2A35B289" w:rsidR="00D4323A" w:rsidRPr="00CF2E7C" w:rsidRDefault="009A0291" w:rsidP="00CF2E7C">
            <w:pPr>
              <w:rPr>
                <w:rFonts w:ascii="Calibri" w:hAnsi="Calibri" w:cs="Calibri"/>
              </w:rPr>
            </w:pPr>
            <w:r>
              <w:rPr>
                <w:rFonts w:ascii="Calibri" w:hAnsi="Calibri" w:cs="Calibri"/>
              </w:rPr>
              <w:t>X</w:t>
            </w: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690EF880" w:rsidR="00D4323A" w:rsidRPr="00CF2E7C" w:rsidRDefault="009A0291" w:rsidP="00CF2E7C">
            <w:pPr>
              <w:rPr>
                <w:rFonts w:ascii="Calibri" w:hAnsi="Calibri" w:cs="Calibri"/>
              </w:rPr>
            </w:pPr>
            <w:r>
              <w:rPr>
                <w:rFonts w:ascii="Calibri" w:hAnsi="Calibri" w:cs="Calibri"/>
              </w:rPr>
              <w:t>X</w:t>
            </w: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E603251" w:rsidR="00D4323A" w:rsidRPr="00CF2E7C" w:rsidRDefault="009A0291" w:rsidP="00CF2E7C">
            <w:pPr>
              <w:rPr>
                <w:rFonts w:ascii="Calibri" w:hAnsi="Calibri" w:cs="Calibri"/>
              </w:rPr>
            </w:pPr>
            <w:r>
              <w:rPr>
                <w:rFonts w:ascii="Calibri" w:hAnsi="Calibri" w:cs="Calibri"/>
              </w:rPr>
              <w:t>X</w:t>
            </w: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4B775C3D" w:rsidR="00D4323A" w:rsidRPr="00CF2E7C" w:rsidRDefault="009A0291" w:rsidP="00CF2E7C">
            <w:pPr>
              <w:rPr>
                <w:rFonts w:ascii="Calibri" w:hAnsi="Calibri" w:cs="Calibri"/>
              </w:rPr>
            </w:pPr>
            <w:r>
              <w:rPr>
                <w:rFonts w:ascii="Calibri" w:hAnsi="Calibri" w:cs="Calibri"/>
              </w:rPr>
              <w:t>X</w:t>
            </w: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3D1A7218" w:rsidR="00D4323A" w:rsidRPr="00CF2E7C" w:rsidRDefault="009A0291" w:rsidP="00CF2E7C">
            <w:pPr>
              <w:rPr>
                <w:rFonts w:ascii="Calibri" w:hAnsi="Calibri" w:cs="Calibri"/>
              </w:rPr>
            </w:pPr>
            <w:r>
              <w:rPr>
                <w:rFonts w:ascii="Calibri" w:hAnsi="Calibri" w:cs="Calibri"/>
              </w:rPr>
              <w:t>X</w:t>
            </w: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3A97C5B5" w:rsidR="00D4323A" w:rsidRPr="00CF2E7C" w:rsidRDefault="009A0291" w:rsidP="00CF2E7C">
            <w:pPr>
              <w:rPr>
                <w:rFonts w:ascii="Calibri" w:hAnsi="Calibri" w:cs="Calibri"/>
              </w:rPr>
            </w:pPr>
            <w:r>
              <w:rPr>
                <w:rFonts w:ascii="Calibri" w:hAnsi="Calibri" w:cs="Calibri"/>
              </w:rPr>
              <w:t>X</w:t>
            </w: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6B887310" w:rsidR="00D4323A" w:rsidRPr="00CF2E7C" w:rsidRDefault="009A0291" w:rsidP="00CF2E7C">
            <w:pPr>
              <w:rPr>
                <w:rFonts w:ascii="Calibri" w:hAnsi="Calibri" w:cs="Calibri"/>
              </w:rPr>
            </w:pPr>
            <w:r>
              <w:rPr>
                <w:rFonts w:ascii="Calibri" w:hAnsi="Calibri" w:cs="Calibri"/>
              </w:rPr>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6CB3237F" w:rsidR="00D4323A" w:rsidRPr="00CF2E7C" w:rsidRDefault="009A0291" w:rsidP="00CF2E7C">
            <w:pPr>
              <w:rPr>
                <w:rFonts w:ascii="Calibri" w:hAnsi="Calibri" w:cs="Calibri"/>
              </w:rPr>
            </w:pPr>
            <w:r>
              <w:rPr>
                <w:rFonts w:ascii="Calibri" w:hAnsi="Calibri" w:cs="Calibri"/>
              </w:rPr>
              <w:t>X</w:t>
            </w: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2F65B48D" w:rsidR="00DD292A" w:rsidRPr="00CF2E7C" w:rsidRDefault="009A0291" w:rsidP="00CF2E7C">
            <w:pPr>
              <w:rPr>
                <w:rFonts w:ascii="Calibri" w:hAnsi="Calibri" w:cs="Calibri"/>
              </w:rPr>
            </w:pPr>
            <w:r>
              <w:rPr>
                <w:rFonts w:ascii="Calibri" w:hAnsi="Calibri" w:cs="Calibri"/>
              </w:rPr>
              <w:t>X</w:t>
            </w: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6BCC50F9" w:rsidR="00DD292A" w:rsidRPr="00CF2E7C" w:rsidRDefault="009A0291" w:rsidP="00CF2E7C">
            <w:pPr>
              <w:rPr>
                <w:rFonts w:ascii="Calibri" w:hAnsi="Calibri" w:cs="Calibri"/>
              </w:rPr>
            </w:pPr>
            <w:r>
              <w:rPr>
                <w:rFonts w:ascii="Calibri" w:hAnsi="Calibri" w:cs="Calibri"/>
              </w:rPr>
              <w:t>X</w:t>
            </w: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184B52CD" w:rsidR="00DD292A" w:rsidRPr="00CF2E7C" w:rsidRDefault="009A0291" w:rsidP="00CF2E7C">
            <w:pPr>
              <w:rPr>
                <w:rFonts w:ascii="Calibri" w:hAnsi="Calibri" w:cs="Calibri"/>
              </w:rPr>
            </w:pPr>
            <w:r>
              <w:rPr>
                <w:rFonts w:ascii="Calibri" w:hAnsi="Calibri" w:cs="Calibri"/>
              </w:rPr>
              <w:t>X</w:t>
            </w: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1CB43D25" w:rsidR="00DD292A" w:rsidRPr="00CF2E7C" w:rsidRDefault="009A0291" w:rsidP="00CF2E7C">
            <w:pPr>
              <w:rPr>
                <w:rFonts w:ascii="Calibri" w:hAnsi="Calibri" w:cs="Calibri"/>
              </w:rPr>
            </w:pPr>
            <w:r>
              <w:rPr>
                <w:rFonts w:ascii="Calibri" w:hAnsi="Calibri" w:cs="Calibri"/>
              </w:rPr>
              <w:t>X</w:t>
            </w: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499A7089" w:rsidR="00DD292A" w:rsidRPr="00CF2E7C" w:rsidRDefault="009A0291" w:rsidP="00CF2E7C">
            <w:pPr>
              <w:rPr>
                <w:rFonts w:ascii="Calibri" w:hAnsi="Calibri" w:cs="Calibri"/>
              </w:rPr>
            </w:pPr>
            <w:r>
              <w:rPr>
                <w:rFonts w:ascii="Calibri" w:hAnsi="Calibri" w:cs="Calibri"/>
              </w:rPr>
              <w:t>X</w:t>
            </w: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44DC052C" w:rsidR="00DD292A" w:rsidRPr="00CF2E7C" w:rsidRDefault="009A0291" w:rsidP="00CF2E7C">
            <w:pPr>
              <w:rPr>
                <w:rFonts w:ascii="Calibri" w:hAnsi="Calibri" w:cs="Calibri"/>
              </w:rPr>
            </w:pPr>
            <w:r>
              <w:rPr>
                <w:rFonts w:ascii="Calibri" w:hAnsi="Calibri" w:cs="Calibri"/>
              </w:rPr>
              <w:t>X</w:t>
            </w: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39DBD6B" w:rsidR="00DD292A" w:rsidRPr="00CF2E7C" w:rsidRDefault="00DD292A" w:rsidP="00CF2E7C">
            <w:pPr>
              <w:rPr>
                <w:rFonts w:ascii="Calibri" w:hAnsi="Calibri" w:cs="Calibri"/>
              </w:rPr>
            </w:pPr>
          </w:p>
        </w:tc>
      </w:tr>
      <w:tr w:rsidR="00DD292A" w:rsidRPr="007468D4"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7468D4" w:rsidRDefault="00DD292A" w:rsidP="00CF2E7C">
            <w:pPr>
              <w:rPr>
                <w:rFonts w:ascii="Calibri" w:hAnsi="Calibri" w:cs="Calibri"/>
                <w:lang w:val="fr-FR"/>
              </w:rPr>
            </w:pPr>
            <w:r w:rsidRPr="007468D4">
              <w:rPr>
                <w:rFonts w:ascii="Calibri" w:hAnsi="Calibri" w:cs="Calibri"/>
                <w:lang w:val="fr-FR"/>
              </w:rPr>
              <w:t>Minimum revenue (Enter minimum revenue)</w:t>
            </w:r>
          </w:p>
        </w:tc>
        <w:tc>
          <w:tcPr>
            <w:tcW w:w="4993" w:type="dxa"/>
            <w:gridSpan w:val="6"/>
            <w:shd w:val="clear" w:color="auto" w:fill="auto"/>
            <w:vAlign w:val="center"/>
          </w:tcPr>
          <w:p w14:paraId="5A15330D" w14:textId="1B179AE3" w:rsidR="00DD292A" w:rsidRPr="007468D4" w:rsidRDefault="00DD292A" w:rsidP="00CF2E7C">
            <w:pPr>
              <w:rPr>
                <w:rFonts w:ascii="Calibri" w:hAnsi="Calibri" w:cs="Calibri"/>
                <w:lang w:val="fr-FR"/>
              </w:rPr>
            </w:pPr>
          </w:p>
        </w:tc>
      </w:tr>
      <w:tr w:rsidR="00DD292A" w:rsidRPr="006840C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4245DD13"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5FBBBD8" w:rsidR="00DD292A" w:rsidRPr="003C1A7E" w:rsidRDefault="00C3663E" w:rsidP="003C1A7E">
            <w:pPr>
              <w:rPr>
                <w:rFonts w:cstheme="minorHAnsi"/>
              </w:rPr>
            </w:pPr>
            <w:r>
              <w:rPr>
                <w:rFonts w:cstheme="minorHAnsi"/>
              </w:rPr>
              <w:t>Participation in CST</w:t>
            </w:r>
            <w:r w:rsidRPr="00437C30">
              <w:rPr>
                <w:rFonts w:cstheme="minorHAnsi"/>
              </w:rPr>
              <w:t xml:space="preserve"> is mandatory for banks classified as significant under the </w:t>
            </w:r>
            <w:r>
              <w:rPr>
                <w:rFonts w:cstheme="minorHAnsi"/>
              </w:rPr>
              <w:t>Single Supervisory Mechanism (“</w:t>
            </w:r>
            <w:r w:rsidRPr="00437C30">
              <w:rPr>
                <w:rFonts w:cstheme="minorHAnsi"/>
              </w:rPr>
              <w:t>SSM</w:t>
            </w:r>
            <w:r>
              <w:rPr>
                <w:rFonts w:cstheme="minorHAnsi"/>
              </w:rPr>
              <w:t xml:space="preserve">”). </w:t>
            </w:r>
            <w:r w:rsidRPr="00C3663E">
              <w:rPr>
                <w:rFonts w:cstheme="minorHAnsi"/>
              </w:rPr>
              <w:t>To qualify as significant,</w:t>
            </w:r>
            <w:r>
              <w:rPr>
                <w:rFonts w:cstheme="minorHAnsi"/>
              </w:rPr>
              <w:t xml:space="preserve"> a</w:t>
            </w:r>
            <w:r w:rsidRPr="00C3663E">
              <w:rPr>
                <w:rFonts w:cstheme="minorHAnsi"/>
              </w:rPr>
              <w:t xml:space="preserve"> bank must fulfil at least one of these criteria</w:t>
            </w:r>
            <w:r>
              <w:rPr>
                <w:rFonts w:cstheme="minorHAnsi"/>
              </w:rPr>
              <w:t xml:space="preserve">: (1) </w:t>
            </w:r>
            <w:r w:rsidRPr="00C3663E">
              <w:rPr>
                <w:rFonts w:cstheme="minorHAnsi"/>
              </w:rPr>
              <w:t>the total value of its assets exceeds €30 billion</w:t>
            </w:r>
            <w:r>
              <w:rPr>
                <w:rFonts w:cstheme="minorHAnsi"/>
              </w:rPr>
              <w:t>; (2) it has economic importance for a</w:t>
            </w:r>
            <w:r w:rsidRPr="00C3663E">
              <w:rPr>
                <w:rFonts w:cstheme="minorHAnsi"/>
              </w:rPr>
              <w:t xml:space="preserve"> </w:t>
            </w:r>
            <w:r>
              <w:rPr>
                <w:rFonts w:cstheme="minorHAnsi"/>
              </w:rPr>
              <w:t>Member State</w:t>
            </w:r>
            <w:r w:rsidRPr="00C3663E">
              <w:rPr>
                <w:rFonts w:cstheme="minorHAnsi"/>
              </w:rPr>
              <w:t xml:space="preserve"> or the EU economy as a whole</w:t>
            </w:r>
            <w:r>
              <w:rPr>
                <w:rFonts w:cstheme="minorHAnsi"/>
              </w:rPr>
              <w:t xml:space="preserve">; (3) </w:t>
            </w:r>
            <w:r w:rsidRPr="00C3663E">
              <w:rPr>
                <w:rFonts w:cstheme="minorHAnsi"/>
              </w:rPr>
              <w:t>the total value of its assets exceeds €5 billion and the ratio of its cross-border assets/liabilities in more than one other participating Member State to its total assets/liabilities is above 20%</w:t>
            </w:r>
            <w:r>
              <w:rPr>
                <w:rFonts w:cstheme="minorHAnsi"/>
              </w:rPr>
              <w:t xml:space="preserve">; (4) it </w:t>
            </w:r>
            <w:r w:rsidRPr="00C3663E">
              <w:rPr>
                <w:rFonts w:cstheme="minorHAnsi"/>
              </w:rPr>
              <w:t>has requested or received funding from the European Stability Mechanism or the European Financial Stability Facility</w:t>
            </w:r>
            <w:r w:rsidR="003C1A7E">
              <w:rPr>
                <w:rFonts w:cstheme="minorHAnsi"/>
              </w:rPr>
              <w:t xml:space="preserve">; and (5) </w:t>
            </w:r>
            <w:r w:rsidRPr="00C3663E">
              <w:rPr>
                <w:rFonts w:cstheme="minorHAnsi"/>
              </w:rPr>
              <w:t xml:space="preserve">it is one of the three most significant banks established in a </w:t>
            </w:r>
            <w:r w:rsidR="003C1A7E">
              <w:rPr>
                <w:rFonts w:cstheme="minorHAnsi"/>
              </w:rPr>
              <w:t>Member State</w:t>
            </w:r>
            <w:r w:rsidRPr="00C3663E">
              <w:rPr>
                <w:rFonts w:cstheme="minorHAnsi"/>
              </w:rPr>
              <w:t>.</w:t>
            </w: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55624846" w:rsidR="00DD292A" w:rsidRPr="00CF2E7C" w:rsidRDefault="003C1A7E" w:rsidP="00CF2E7C">
            <w:pPr>
              <w:rPr>
                <w:rFonts w:ascii="Calibri" w:hAnsi="Calibri" w:cs="Calibri"/>
              </w:rPr>
            </w:pPr>
            <w:r>
              <w:rPr>
                <w:rFonts w:ascii="Calibri" w:hAnsi="Calibri" w:cs="Calibri"/>
              </w:rPr>
              <w:t>X</w:t>
            </w: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367B9A8B" w:rsidR="00DD3B33" w:rsidRPr="00CF2E7C" w:rsidRDefault="003C1A7E" w:rsidP="00CF2E7C">
            <w:pPr>
              <w:rPr>
                <w:rFonts w:ascii="Calibri" w:hAnsi="Calibri" w:cs="Calibri"/>
              </w:rPr>
            </w:pPr>
            <w:r>
              <w:rPr>
                <w:rFonts w:ascii="Calibri" w:hAnsi="Calibri" w:cs="Calibri"/>
              </w:rPr>
              <w:t>X</w:t>
            </w: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3EE49CAA" w:rsidR="00DD3B33" w:rsidRPr="00CF2E7C" w:rsidRDefault="003C1A7E" w:rsidP="00CF2E7C">
            <w:pPr>
              <w:rPr>
                <w:rFonts w:ascii="Calibri" w:hAnsi="Calibri" w:cs="Calibri"/>
              </w:rPr>
            </w:pPr>
            <w:r>
              <w:rPr>
                <w:rFonts w:ascii="Calibri" w:hAnsi="Calibri" w:cs="Calibri"/>
              </w:rPr>
              <w:t>X</w:t>
            </w: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lastRenderedPageBreak/>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635AFB40" w:rsidR="00DD3B33" w:rsidRPr="00CF2E7C" w:rsidRDefault="003C1A7E" w:rsidP="00CF2E7C">
            <w:pPr>
              <w:rPr>
                <w:rFonts w:ascii="Calibri" w:hAnsi="Calibri" w:cs="Calibri"/>
              </w:rPr>
            </w:pPr>
            <w:r>
              <w:rPr>
                <w:rFonts w:ascii="Calibri" w:hAnsi="Calibri" w:cs="Calibri"/>
              </w:rPr>
              <w:t>X</w:t>
            </w: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0EE55BD5" w14:textId="755EE745" w:rsidR="003C1A7E" w:rsidRPr="00437C30" w:rsidRDefault="003C1A7E" w:rsidP="003C1A7E">
            <w:pPr>
              <w:rPr>
                <w:rFonts w:cstheme="minorHAnsi"/>
              </w:rPr>
            </w:pPr>
            <w:r w:rsidRPr="00437C30">
              <w:rPr>
                <w:rFonts w:cstheme="minorHAnsi"/>
              </w:rPr>
              <w:t xml:space="preserve">While the report itself does not detail specific sanctions, these fall under the ECB's broader enforcement powers as the banking supervisor (section </w:t>
            </w:r>
            <w:r>
              <w:rPr>
                <w:rFonts w:cstheme="minorHAnsi"/>
              </w:rPr>
              <w:t>6</w:t>
            </w:r>
            <w:r w:rsidRPr="00437C30">
              <w:rPr>
                <w:rFonts w:cstheme="minorHAnsi"/>
              </w:rPr>
              <w:t xml:space="preserve"> Supervisory Follow-up).</w:t>
            </w:r>
            <w:r>
              <w:t xml:space="preserve"> </w:t>
            </w:r>
            <w:r>
              <w:rPr>
                <w:rFonts w:cstheme="minorHAnsi"/>
              </w:rPr>
              <w:t>T</w:t>
            </w:r>
            <w:r w:rsidRPr="00F8162F">
              <w:rPr>
                <w:rFonts w:cstheme="minorHAnsi"/>
              </w:rPr>
              <w:t>he JSTs (</w:t>
            </w:r>
            <w:r>
              <w:rPr>
                <w:rFonts w:cstheme="minorHAnsi"/>
              </w:rPr>
              <w:t>“</w:t>
            </w:r>
            <w:r w:rsidRPr="00F8162F">
              <w:rPr>
                <w:rFonts w:cstheme="minorHAnsi"/>
              </w:rPr>
              <w:t>Joint Supervisory Teams</w:t>
            </w:r>
            <w:r>
              <w:rPr>
                <w:rFonts w:cstheme="minorHAnsi"/>
              </w:rPr>
              <w:t>”</w:t>
            </w:r>
            <w:r w:rsidRPr="00F8162F">
              <w:rPr>
                <w:rFonts w:cstheme="minorHAnsi"/>
              </w:rPr>
              <w:t>) consider climate risk alongside all other risk factors, meaning that non-compliance would be addressed within the overall supervisory process.</w:t>
            </w:r>
            <w:r>
              <w:rPr>
                <w:rFonts w:cstheme="minorHAnsi"/>
              </w:rPr>
              <w:t xml:space="preserve"> </w:t>
            </w:r>
            <w:r w:rsidRPr="00437C30">
              <w:rPr>
                <w:rFonts w:cstheme="minorHAnsi"/>
              </w:rPr>
              <w:t>Non-compliance with ECB supervisory requirements, including climate risk stress testing, can lead to monetary penalties imposed by the ECB as part of its supervisory enforcement toolkit. (See ECB Supervisory Manual</w:t>
            </w:r>
            <w:r>
              <w:rPr>
                <w:rFonts w:cstheme="minorHAnsi"/>
              </w:rPr>
              <w:t xml:space="preserve"> 4.10.4</w:t>
            </w:r>
            <w:r w:rsidRPr="00437C30">
              <w:rPr>
                <w:rFonts w:cstheme="minorHAnsi"/>
              </w:rPr>
              <w:t xml:space="preserve"> and SSM Regulation).</w:t>
            </w:r>
          </w:p>
          <w:p w14:paraId="1000A385" w14:textId="565FC76F" w:rsidR="003C1A7E" w:rsidRDefault="003C1A7E" w:rsidP="003C1A7E">
            <w:pPr>
              <w:rPr>
                <w:rFonts w:cstheme="minorHAnsi"/>
              </w:rPr>
            </w:pPr>
            <w:r w:rsidRPr="00437C30">
              <w:rPr>
                <w:rFonts w:cstheme="minorHAnsi"/>
              </w:rPr>
              <w:t>The ECB may also impose restrictions on business activities</w:t>
            </w:r>
            <w:r w:rsidR="005F42B3">
              <w:rPr>
                <w:rFonts w:cstheme="minorHAnsi"/>
              </w:rPr>
              <w:t>,</w:t>
            </w:r>
            <w:r w:rsidRPr="00437C30">
              <w:rPr>
                <w:rFonts w:cstheme="minorHAnsi"/>
              </w:rPr>
              <w:t xml:space="preserve"> such as limitations on dividend distributions or capital actions to safeguard bank resilience.</w:t>
            </w:r>
          </w:p>
          <w:p w14:paraId="6BF4AF82" w14:textId="038DCE15" w:rsidR="00DD3B33" w:rsidRPr="00CF2E7C" w:rsidRDefault="003C1A7E" w:rsidP="003C1A7E">
            <w:pPr>
              <w:rPr>
                <w:rFonts w:ascii="Calibri" w:hAnsi="Calibri" w:cs="Calibri"/>
              </w:rPr>
            </w:pPr>
            <w:r w:rsidRPr="00437C30">
              <w:rPr>
                <w:rFonts w:cstheme="minorHAnsi"/>
              </w:rPr>
              <w:t>Sanctions may include penalties directed at senior management for failure to comply with prudential regulation</w:t>
            </w:r>
            <w:r>
              <w:rPr>
                <w:rFonts w:cstheme="minorHAnsi"/>
              </w:rPr>
              <w:t>.</w:t>
            </w: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3372C3B8" w:rsidR="00DD292A" w:rsidRPr="00CF2E7C" w:rsidRDefault="005F42B3" w:rsidP="00CF2E7C">
            <w:pPr>
              <w:rPr>
                <w:rFonts w:ascii="Calibri" w:hAnsi="Calibri" w:cs="Calibri"/>
              </w:rPr>
            </w:pPr>
            <w:r>
              <w:rPr>
                <w:rFonts w:ascii="Calibri" w:hAnsi="Calibri" w:cs="Calibri"/>
              </w:rPr>
              <w:t>X</w:t>
            </w: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lastRenderedPageBreak/>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48D6AF74" w:rsidR="00DD292A" w:rsidRPr="005F42B3" w:rsidRDefault="005F42B3" w:rsidP="005F42B3">
            <w:pPr>
              <w:rPr>
                <w:rFonts w:cstheme="minorHAnsi"/>
              </w:rPr>
            </w:pPr>
            <w:r>
              <w:rPr>
                <w:rFonts w:cstheme="minorHAnsi"/>
              </w:rPr>
              <w:t xml:space="preserve">The report </w:t>
            </w:r>
            <w:r w:rsidRPr="00437C30">
              <w:rPr>
                <w:rFonts w:cstheme="minorHAnsi"/>
              </w:rPr>
              <w:t>does not mention any enforcement actions, sanctions, or regulatory disputes resulting directly from this specific climate stress test exercise. The report states that the stress test is a pilot exercise to inform supervisory practices (</w:t>
            </w:r>
            <w:r>
              <w:rPr>
                <w:rFonts w:cstheme="minorHAnsi"/>
              </w:rPr>
              <w:t>executive summary</w:t>
            </w:r>
            <w:r w:rsidRPr="00437C30">
              <w:rPr>
                <w:rFonts w:cstheme="minorHAnsi"/>
              </w:rPr>
              <w:t>), implying it is primarily diagnostic rather than punitive at this stage.</w:t>
            </w: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62D0CAC2" w:rsidR="00DD292A" w:rsidRPr="00CF2E7C" w:rsidRDefault="005F42B3"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26AA61DA"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0CC078E6" w:rsidR="00410853" w:rsidRPr="00CF2E7C" w:rsidRDefault="004F083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EEACF9E" w:rsidR="00410853" w:rsidRPr="00CF2E7C" w:rsidRDefault="004F083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212BC5DB" w:rsidR="00F632FB" w:rsidRPr="00CF2E7C" w:rsidRDefault="004F083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275213CA" w:rsidR="00F632FB" w:rsidRPr="00CF2E7C" w:rsidRDefault="004F083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7178B512" w:rsidR="00F632FB" w:rsidRPr="00CF2E7C" w:rsidRDefault="00DC022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12CDECD3" w:rsidR="00F632FB" w:rsidRPr="00CF2E7C" w:rsidRDefault="004F083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01031639" w:rsidR="008C4722" w:rsidRPr="00CF2E7C" w:rsidRDefault="004F083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6E784BB1" w:rsidR="008C4722" w:rsidRPr="00CF2E7C" w:rsidRDefault="004F083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17FCADFB" w:rsidR="008C4722" w:rsidRPr="00CF2E7C" w:rsidRDefault="004F083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956A0E2" w:rsidR="008C4722" w:rsidRPr="00CF2E7C" w:rsidRDefault="004F0832" w:rsidP="00CF2E7C">
            <w:pPr>
              <w:textAlignment w:val="baseline"/>
              <w:rPr>
                <w:rFonts w:ascii="Calibri" w:eastAsia="Times New Roman" w:hAnsi="Calibri" w:cs="Calibri"/>
                <w:kern w:val="0"/>
                <w:lang w:eastAsia="en-GB"/>
                <w14:ligatures w14:val="none"/>
              </w:rPr>
            </w:pPr>
            <w:r w:rsidRPr="007217C8">
              <w:rPr>
                <w:rFonts w:eastAsia="Times New Roman" w:cstheme="minorHAnsi"/>
                <w:kern w:val="0"/>
                <w:lang w:eastAsia="en-GB"/>
                <w14:ligatures w14:val="none"/>
              </w:rPr>
              <w:t>The ECB 2022 CST was designed to assess banks' exposure to climate-related financial risks, especially transition and physical risks, and their preparedness to manage t</w:t>
            </w:r>
            <w:r w:rsidR="00032C20">
              <w:rPr>
                <w:rFonts w:eastAsia="Times New Roman" w:cstheme="minorHAnsi"/>
                <w:kern w:val="0"/>
                <w:lang w:eastAsia="en-GB"/>
                <w14:ligatures w14:val="none"/>
              </w:rPr>
              <w:t>he risks</w:t>
            </w:r>
            <w:r w:rsidRPr="007217C8">
              <w:rPr>
                <w:rFonts w:eastAsia="Times New Roman" w:cstheme="minorHAnsi"/>
                <w:kern w:val="0"/>
                <w:lang w:eastAsia="en-GB"/>
                <w14:ligatures w14:val="none"/>
              </w:rPr>
              <w:t>. It examined banks’ income and exposures to carbon-intensive sectors (</w:t>
            </w:r>
            <w:r w:rsidR="00BD2608">
              <w:rPr>
                <w:rFonts w:eastAsia="Times New Roman" w:cstheme="minorHAnsi"/>
                <w:kern w:val="0"/>
                <w:lang w:eastAsia="en-GB"/>
                <w14:ligatures w14:val="none"/>
              </w:rPr>
              <w:t>section 4.1</w:t>
            </w:r>
            <w:r w:rsidRPr="007217C8">
              <w:rPr>
                <w:rFonts w:eastAsia="Times New Roman" w:cstheme="minorHAnsi"/>
                <w:kern w:val="0"/>
                <w:lang w:eastAsia="en-GB"/>
                <w14:ligatures w14:val="none"/>
              </w:rPr>
              <w:t>), assessed resilience under NGFS-based scenarios (</w:t>
            </w:r>
            <w:r w:rsidR="00BD2608">
              <w:rPr>
                <w:rFonts w:eastAsia="Times New Roman" w:cstheme="minorHAnsi"/>
                <w:kern w:val="0"/>
                <w:lang w:eastAsia="en-GB"/>
                <w14:ligatures w14:val="none"/>
              </w:rPr>
              <w:t>section 2.1</w:t>
            </w:r>
            <w:r w:rsidRPr="007217C8">
              <w:rPr>
                <w:rFonts w:eastAsia="Times New Roman" w:cstheme="minorHAnsi"/>
                <w:kern w:val="0"/>
                <w:lang w:eastAsia="en-GB"/>
                <w14:ligatures w14:val="none"/>
              </w:rPr>
              <w:t>), and reviewed internal governance and risk frameworks (</w:t>
            </w:r>
            <w:r w:rsidR="00BD2608">
              <w:rPr>
                <w:rFonts w:eastAsia="Times New Roman" w:cstheme="minorHAnsi"/>
                <w:kern w:val="0"/>
                <w:lang w:eastAsia="en-GB"/>
                <w14:ligatures w14:val="none"/>
              </w:rPr>
              <w:t>section 3</w:t>
            </w:r>
            <w:r w:rsidRPr="007217C8">
              <w:rPr>
                <w:rFonts w:eastAsia="Times New Roman" w:cstheme="minorHAnsi"/>
                <w:kern w:val="0"/>
                <w:lang w:eastAsia="en-GB"/>
                <w14:ligatures w14:val="none"/>
              </w:rPr>
              <w:t>). The tool aims to identify vulnerabilities and to inform the qualitative assessment of banks in the SREP (section 6.1).</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2935751D" w:rsidR="008C4722" w:rsidRPr="00CF2E7C" w:rsidRDefault="00BD260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77BC9B06" w:rsidR="007B7DEE" w:rsidRPr="00CF2E7C" w:rsidRDefault="00BD260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19942C18" w:rsidR="00ED7E12" w:rsidRPr="00CF2E7C" w:rsidRDefault="00BD260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646C5262" w:rsidR="00ED7E12" w:rsidRPr="00CF2E7C" w:rsidRDefault="00BD260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5D8AD3CA" w:rsidR="00ED7E12" w:rsidRPr="00CF2E7C" w:rsidRDefault="00B31289" w:rsidP="00CF2E7C">
            <w:pPr>
              <w:textAlignment w:val="baseline"/>
              <w:rPr>
                <w:rFonts w:ascii="Calibri" w:eastAsia="Times New Roman" w:hAnsi="Calibri" w:cs="Calibri"/>
                <w:kern w:val="0"/>
                <w:lang w:eastAsia="en-GB"/>
                <w14:ligatures w14:val="none"/>
              </w:rPr>
            </w:pPr>
            <w:r w:rsidRPr="00B31289">
              <w:rPr>
                <w:rFonts w:ascii="Calibri" w:eastAsia="Times New Roman" w:hAnsi="Calibri" w:cs="Calibri"/>
                <w:kern w:val="0"/>
                <w:lang w:eastAsia="en-GB"/>
                <w14:ligatures w14:val="none"/>
              </w:rPr>
              <w:t xml:space="preserve">The ECB provided individual feedback to banks regarding their performance and plans to publish guidance on best practices </w:t>
            </w:r>
            <w:r w:rsidR="001A5C77">
              <w:rPr>
                <w:rFonts w:ascii="Calibri" w:eastAsia="Times New Roman" w:hAnsi="Calibri" w:cs="Calibri"/>
                <w:kern w:val="0"/>
                <w:lang w:eastAsia="en-GB"/>
                <w14:ligatures w14:val="none"/>
              </w:rPr>
              <w:t xml:space="preserve">for climate risk </w:t>
            </w:r>
            <w:r w:rsidR="00AE4A50">
              <w:rPr>
                <w:rFonts w:ascii="Calibri" w:eastAsia="Times New Roman" w:hAnsi="Calibri" w:cs="Calibri"/>
                <w:kern w:val="0"/>
                <w:lang w:eastAsia="en-GB"/>
                <w14:ligatures w14:val="none"/>
              </w:rPr>
              <w:t>stress testing</w:t>
            </w:r>
            <w:r w:rsidR="001A5C77">
              <w:rPr>
                <w:rFonts w:ascii="Calibri" w:eastAsia="Times New Roman" w:hAnsi="Calibri" w:cs="Calibri"/>
                <w:kern w:val="0"/>
                <w:lang w:eastAsia="en-GB"/>
                <w14:ligatures w14:val="none"/>
              </w:rPr>
              <w:t xml:space="preserve"> </w:t>
            </w:r>
            <w:r w:rsidRPr="00B31289">
              <w:rPr>
                <w:rFonts w:ascii="Calibri" w:eastAsia="Times New Roman" w:hAnsi="Calibri" w:cs="Calibri"/>
                <w:kern w:val="0"/>
                <w:lang w:eastAsia="en-GB"/>
                <w14:ligatures w14:val="none"/>
              </w:rPr>
              <w:t>by the end of 2022</w:t>
            </w:r>
            <w:r w:rsidR="00B80244">
              <w:rPr>
                <w:rFonts w:ascii="Calibri" w:eastAsia="Times New Roman" w:hAnsi="Calibri" w:cs="Calibri"/>
                <w:kern w:val="0"/>
                <w:lang w:eastAsia="en-GB"/>
                <w14:ligatures w14:val="none"/>
              </w:rPr>
              <w:t xml:space="preserve"> (section 6.2)</w:t>
            </w:r>
            <w:r w:rsidRPr="00B31289">
              <w:rPr>
                <w:rFonts w:ascii="Calibri" w:eastAsia="Times New Roman" w:hAnsi="Calibri" w:cs="Calibri"/>
                <w:kern w:val="0"/>
                <w:lang w:eastAsia="en-GB"/>
                <w14:ligatures w14:val="none"/>
              </w:rPr>
              <w:t xml:space="preserve">. </w:t>
            </w:r>
            <w:r w:rsidR="00AE4A50">
              <w:rPr>
                <w:rFonts w:ascii="Calibri" w:eastAsia="Times New Roman" w:hAnsi="Calibri" w:cs="Calibri"/>
                <w:kern w:val="0"/>
                <w:lang w:eastAsia="en-GB"/>
                <w14:ligatures w14:val="none"/>
              </w:rPr>
              <w:t xml:space="preserve">The 2022 CTS </w:t>
            </w:r>
            <w:r w:rsidRPr="00B31289">
              <w:rPr>
                <w:rFonts w:ascii="Calibri" w:eastAsia="Times New Roman" w:hAnsi="Calibri" w:cs="Calibri"/>
                <w:kern w:val="0"/>
                <w:lang w:eastAsia="en-GB"/>
                <w14:ligatures w14:val="none"/>
              </w:rPr>
              <w:t>findings will also be integrated into the SREP in a qualitative way</w:t>
            </w:r>
            <w:r w:rsidR="00B80244">
              <w:rPr>
                <w:rFonts w:ascii="Calibri" w:eastAsia="Times New Roman" w:hAnsi="Calibri" w:cs="Calibri"/>
                <w:kern w:val="0"/>
                <w:lang w:eastAsia="en-GB"/>
                <w14:ligatures w14:val="none"/>
              </w:rPr>
              <w:t xml:space="preserve"> (section 6.1)</w:t>
            </w:r>
            <w:r w:rsidRPr="00B31289">
              <w:rPr>
                <w:rFonts w:ascii="Calibri" w:eastAsia="Times New Roman" w:hAnsi="Calibri" w:cs="Calibri"/>
                <w:kern w:val="0"/>
                <w:lang w:eastAsia="en-GB"/>
                <w14:ligatures w14:val="none"/>
              </w:rPr>
              <w:t>.</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A8B66CC" w:rsidR="00702413" w:rsidRPr="00CF2E7C" w:rsidRDefault="00B8024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2A9C8E5E" w:rsidR="00702413" w:rsidRPr="00CF2E7C" w:rsidRDefault="00B8024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6BA7D593" w:rsidR="00702413" w:rsidRPr="00CF2E7C" w:rsidRDefault="00B8024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042B3145" w:rsidR="00702413" w:rsidRPr="00CF2E7C" w:rsidRDefault="00B8024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1488F2E3" w:rsidR="00702413" w:rsidRPr="00CF2E7C" w:rsidRDefault="00B8024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36911D89" w:rsidR="00702413" w:rsidRPr="00CF2E7C" w:rsidRDefault="00B8024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0936C682" w:rsidR="00702413" w:rsidRPr="00CF2E7C" w:rsidRDefault="00B8024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156A2FBD" w:rsidR="00C82860" w:rsidRPr="00CF2E7C" w:rsidRDefault="00B8024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032FF236" w:rsidR="00C82860" w:rsidRPr="00CF2E7C" w:rsidRDefault="00B8024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79FB6351" w:rsidR="00C82860" w:rsidRPr="00CF2E7C" w:rsidRDefault="00B8024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66D707ED" w:rsidR="00C82860" w:rsidRPr="00CF2E7C" w:rsidRDefault="00B8024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6447AAB" w:rsidR="00C82860" w:rsidRPr="00CF2E7C" w:rsidRDefault="00B8024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13978D40" w:rsidR="00C82860" w:rsidRPr="00CF2E7C" w:rsidRDefault="00B8024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3A513CDD" w:rsidR="00C82860" w:rsidRPr="00CF2E7C" w:rsidRDefault="00B8024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B3F96AB" w14:textId="134ABD5D" w:rsidR="00B80244" w:rsidRPr="00B80244" w:rsidRDefault="003C5D67" w:rsidP="00B80244">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I</w:t>
            </w:r>
            <w:r w:rsidR="00B80244" w:rsidRPr="00B80244">
              <w:rPr>
                <w:rFonts w:ascii="Calibri" w:eastAsia="Times New Roman" w:hAnsi="Calibri" w:cs="Calibri"/>
                <w:kern w:val="0"/>
                <w:lang w:eastAsia="en-GB"/>
                <w14:ligatures w14:val="none"/>
              </w:rPr>
              <w:t xml:space="preserve">n the context of the physical risk scenarios, </w:t>
            </w:r>
            <w:r>
              <w:rPr>
                <w:rFonts w:ascii="Calibri" w:eastAsia="Times New Roman" w:hAnsi="Calibri" w:cs="Calibri"/>
                <w:kern w:val="0"/>
                <w:lang w:eastAsia="en-GB"/>
                <w14:ligatures w14:val="none"/>
              </w:rPr>
              <w:t xml:space="preserve">the 2022 CST requested </w:t>
            </w:r>
            <w:r w:rsidR="00B80244" w:rsidRPr="00B80244">
              <w:rPr>
                <w:rFonts w:ascii="Calibri" w:eastAsia="Times New Roman" w:hAnsi="Calibri" w:cs="Calibri"/>
                <w:kern w:val="0"/>
                <w:lang w:eastAsia="en-GB"/>
                <w14:ligatures w14:val="none"/>
              </w:rPr>
              <w:t>a within-country geographical disaggregation of exposure at the NUTS39 level of granularity</w:t>
            </w:r>
            <w:r>
              <w:rPr>
                <w:rFonts w:ascii="Calibri" w:eastAsia="Times New Roman" w:hAnsi="Calibri" w:cs="Calibri"/>
                <w:kern w:val="0"/>
                <w:lang w:eastAsia="en-GB"/>
                <w14:ligatures w14:val="none"/>
              </w:rPr>
              <w:t xml:space="preserve"> (</w:t>
            </w:r>
            <w:r w:rsidR="00714BE3">
              <w:rPr>
                <w:rFonts w:ascii="Calibri" w:eastAsia="Times New Roman" w:hAnsi="Calibri" w:cs="Calibri"/>
                <w:kern w:val="0"/>
                <w:lang w:eastAsia="en-GB"/>
                <w14:ligatures w14:val="none"/>
              </w:rPr>
              <w:t>s</w:t>
            </w:r>
            <w:r w:rsidR="00B80244" w:rsidRPr="00B80244">
              <w:rPr>
                <w:rFonts w:ascii="Calibri" w:eastAsia="Times New Roman" w:hAnsi="Calibri" w:cs="Calibri"/>
                <w:kern w:val="0"/>
                <w:lang w:eastAsia="en-GB"/>
                <w14:ligatures w14:val="none"/>
              </w:rPr>
              <w:t>ection 2.1)</w:t>
            </w:r>
            <w:r>
              <w:rPr>
                <w:rFonts w:ascii="Calibri" w:eastAsia="Times New Roman" w:hAnsi="Calibri" w:cs="Calibri"/>
                <w:kern w:val="0"/>
                <w:lang w:eastAsia="en-GB"/>
                <w14:ligatures w14:val="none"/>
              </w:rPr>
              <w:t>.</w:t>
            </w:r>
          </w:p>
          <w:p w14:paraId="593BA361" w14:textId="420E5F0B" w:rsidR="00C82860" w:rsidRPr="00CF2E7C" w:rsidRDefault="003C5D67" w:rsidP="003C5D67">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To assess banks’ e</w:t>
            </w:r>
            <w:r w:rsidR="00B80244" w:rsidRPr="00B80244">
              <w:rPr>
                <w:rFonts w:ascii="Calibri" w:eastAsia="Times New Roman" w:hAnsi="Calibri" w:cs="Calibri"/>
                <w:kern w:val="0"/>
                <w:lang w:eastAsia="en-GB"/>
                <w14:ligatures w14:val="none"/>
              </w:rPr>
              <w:t>xposure to economic sectors with higher climate physical/transition risk</w:t>
            </w:r>
            <w:r>
              <w:rPr>
                <w:rFonts w:ascii="Calibri" w:eastAsia="Times New Roman" w:hAnsi="Calibri" w:cs="Calibri"/>
                <w:kern w:val="0"/>
                <w:lang w:eastAsia="en-GB"/>
                <w14:ligatures w14:val="none"/>
              </w:rPr>
              <w:t xml:space="preserve">, the 2022 CST focused on </w:t>
            </w:r>
            <w:r w:rsidR="00B80244" w:rsidRPr="00B80244">
              <w:rPr>
                <w:rFonts w:ascii="Calibri" w:eastAsia="Times New Roman" w:hAnsi="Calibri" w:cs="Calibri"/>
                <w:kern w:val="0"/>
                <w:lang w:eastAsia="en-GB"/>
                <w14:ligatures w14:val="none"/>
              </w:rPr>
              <w:t>the sensitivity of banks’ income to transition risk and their exposure to carbon emission-intensive industries</w:t>
            </w:r>
            <w:r>
              <w:rPr>
                <w:rFonts w:ascii="Calibri" w:eastAsia="Times New Roman" w:hAnsi="Calibri" w:cs="Calibri"/>
                <w:kern w:val="0"/>
                <w:lang w:eastAsia="en-GB"/>
                <w14:ligatures w14:val="none"/>
              </w:rPr>
              <w:t xml:space="preserve"> (financed GHG emissions) (</w:t>
            </w:r>
            <w:r w:rsidR="00B80244" w:rsidRPr="00B80244">
              <w:rPr>
                <w:rFonts w:ascii="Calibri" w:eastAsia="Times New Roman" w:hAnsi="Calibri" w:cs="Calibri"/>
                <w:kern w:val="0"/>
                <w:lang w:eastAsia="en-GB"/>
                <w14:ligatures w14:val="none"/>
              </w:rPr>
              <w:t>section 2.</w:t>
            </w:r>
            <w:r>
              <w:rPr>
                <w:rFonts w:ascii="Calibri" w:eastAsia="Times New Roman" w:hAnsi="Calibri" w:cs="Calibri"/>
                <w:kern w:val="0"/>
                <w:lang w:eastAsia="en-GB"/>
                <w14:ligatures w14:val="none"/>
              </w:rPr>
              <w:t>1</w:t>
            </w:r>
            <w:r w:rsidR="00B80244" w:rsidRPr="00B80244">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w:t>
            </w:r>
            <w:r w:rsidR="00714BE3">
              <w:rPr>
                <w:rFonts w:ascii="Calibri" w:eastAsia="Times New Roman" w:hAnsi="Calibri" w:cs="Calibri"/>
                <w:kern w:val="0"/>
                <w:lang w:eastAsia="en-GB"/>
                <w14:ligatures w14:val="none"/>
              </w:rPr>
              <w:t xml:space="preserve"> </w:t>
            </w:r>
            <w:r w:rsidR="00714BE3" w:rsidRPr="00714BE3">
              <w:rPr>
                <w:rFonts w:ascii="Calibri" w:eastAsia="Times New Roman" w:hAnsi="Calibri" w:cs="Calibri"/>
                <w:kern w:val="0"/>
                <w:lang w:eastAsia="en-GB"/>
                <w14:ligatures w14:val="none"/>
              </w:rPr>
              <w:t>The CST 2022 included a granular collection of income and exposure data broken down by GHG-emitting sectors, which are sensitive to transition</w:t>
            </w:r>
            <w:r w:rsidR="00714BE3">
              <w:rPr>
                <w:rFonts w:ascii="Calibri" w:eastAsia="Times New Roman" w:hAnsi="Calibri" w:cs="Calibri"/>
                <w:kern w:val="0"/>
                <w:lang w:eastAsia="en-GB"/>
                <w14:ligatures w14:val="none"/>
              </w:rPr>
              <w:t xml:space="preserve"> (section 4).</w:t>
            </w: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5A1FA98C" w:rsidR="00655FF7" w:rsidRPr="00CF2E7C" w:rsidRDefault="00482E2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0BB851E7" w:rsidR="003032A9" w:rsidRPr="00CF2E7C" w:rsidRDefault="00482E2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A0A2F67" w14:textId="77777777" w:rsidR="00482E2B" w:rsidRDefault="00482E2B" w:rsidP="00482E2B">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The stress test was conducted on ECB’s supervised entities—banks that are considered “significant.” A bank is considered significant if it meets any of the following five criteria: </w:t>
            </w:r>
          </w:p>
          <w:p w14:paraId="13C93FB6" w14:textId="77777777" w:rsidR="00482E2B" w:rsidRDefault="00482E2B" w:rsidP="00482E2B">
            <w:pPr>
              <w:pStyle w:val="ListParagraph"/>
              <w:numPr>
                <w:ilvl w:val="0"/>
                <w:numId w:val="49"/>
              </w:numPr>
              <w:spacing w:before="0" w:after="0"/>
              <w:textAlignment w:val="baseline"/>
              <w:rPr>
                <w:rFonts w:eastAsia="Times New Roman" w:cstheme="minorHAnsi"/>
                <w:kern w:val="0"/>
                <w:lang w:eastAsia="en-GB"/>
                <w14:ligatures w14:val="none"/>
              </w:rPr>
            </w:pPr>
            <w:r>
              <w:rPr>
                <w:rFonts w:eastAsia="Times New Roman" w:cstheme="minorHAnsi"/>
                <w:kern w:val="0"/>
                <w:lang w:eastAsia="en-GB"/>
                <w14:ligatures w14:val="none"/>
              </w:rPr>
              <w:t>T</w:t>
            </w:r>
            <w:r w:rsidRPr="00F35105">
              <w:rPr>
                <w:rFonts w:eastAsia="Times New Roman" w:cstheme="minorHAnsi"/>
                <w:kern w:val="0"/>
                <w:lang w:eastAsia="en-GB"/>
                <w14:ligatures w14:val="none"/>
              </w:rPr>
              <w:t xml:space="preserve">he total value of its assets exceeds €30 billion </w:t>
            </w:r>
          </w:p>
          <w:p w14:paraId="2A9DF2EC" w14:textId="77777777" w:rsidR="00482E2B" w:rsidRPr="00417CBB" w:rsidRDefault="00482E2B" w:rsidP="00482E2B">
            <w:pPr>
              <w:pStyle w:val="ListParagraph"/>
              <w:numPr>
                <w:ilvl w:val="0"/>
                <w:numId w:val="49"/>
              </w:numPr>
              <w:spacing w:before="0" w:after="0"/>
              <w:textAlignment w:val="baseline"/>
              <w:rPr>
                <w:rFonts w:eastAsia="Times New Roman" w:cstheme="minorHAnsi"/>
                <w:kern w:val="0"/>
                <w:lang w:eastAsia="en-GB"/>
                <w14:ligatures w14:val="none"/>
              </w:rPr>
            </w:pPr>
            <w:r>
              <w:rPr>
                <w:rFonts w:eastAsia="Times New Roman" w:cstheme="minorHAnsi"/>
                <w:kern w:val="0"/>
                <w:lang w:eastAsia="en-GB"/>
                <w14:ligatures w14:val="none"/>
              </w:rPr>
              <w:t>It has e</w:t>
            </w:r>
            <w:r w:rsidRPr="00F35105">
              <w:rPr>
                <w:rFonts w:eastAsia="Times New Roman" w:cstheme="minorHAnsi"/>
                <w:kern w:val="0"/>
                <w:lang w:eastAsia="en-GB"/>
                <w14:ligatures w14:val="none"/>
              </w:rPr>
              <w:t>conomic importance</w:t>
            </w:r>
            <w:r>
              <w:rPr>
                <w:rFonts w:eastAsia="Times New Roman" w:cstheme="minorHAnsi"/>
                <w:kern w:val="0"/>
                <w:lang w:eastAsia="en-GB"/>
                <w14:ligatures w14:val="none"/>
              </w:rPr>
              <w:t xml:space="preserve"> </w:t>
            </w:r>
            <w:r w:rsidRPr="00F35105">
              <w:rPr>
                <w:rFonts w:eastAsia="Times New Roman" w:cstheme="minorHAnsi"/>
                <w:kern w:val="0"/>
                <w:lang w:eastAsia="en-GB"/>
                <w14:ligatures w14:val="none"/>
              </w:rPr>
              <w:t xml:space="preserve">for the specific country or the EU economy as a whole </w:t>
            </w:r>
          </w:p>
          <w:p w14:paraId="087D1E5B" w14:textId="77777777" w:rsidR="00482E2B" w:rsidRPr="00417CBB" w:rsidRDefault="00482E2B" w:rsidP="00482E2B">
            <w:pPr>
              <w:pStyle w:val="ListParagraph"/>
              <w:numPr>
                <w:ilvl w:val="0"/>
                <w:numId w:val="49"/>
              </w:numPr>
              <w:spacing w:before="0" w:after="0"/>
              <w:textAlignment w:val="baseline"/>
              <w:rPr>
                <w:rFonts w:eastAsia="Times New Roman" w:cstheme="minorHAnsi"/>
                <w:kern w:val="0"/>
                <w:lang w:eastAsia="en-GB"/>
                <w14:ligatures w14:val="none"/>
              </w:rPr>
            </w:pPr>
            <w:r>
              <w:rPr>
                <w:rFonts w:eastAsia="Times New Roman" w:cstheme="minorHAnsi"/>
                <w:kern w:val="0"/>
                <w:lang w:eastAsia="en-GB"/>
                <w14:ligatures w14:val="none"/>
              </w:rPr>
              <w:t>T</w:t>
            </w:r>
            <w:r w:rsidRPr="00F35105">
              <w:rPr>
                <w:rFonts w:eastAsia="Times New Roman" w:cstheme="minorHAnsi"/>
                <w:kern w:val="0"/>
                <w:lang w:eastAsia="en-GB"/>
                <w14:ligatures w14:val="none"/>
              </w:rPr>
              <w:t xml:space="preserve">he total value of its assets exceeds €5 billion and the ratio of its cross-border assets/liabilities in more than one other participating Member State to its total assets/liabilities is above 20% </w:t>
            </w:r>
          </w:p>
          <w:p w14:paraId="43023BA3" w14:textId="77777777" w:rsidR="00482E2B" w:rsidRPr="00417CBB" w:rsidRDefault="00482E2B" w:rsidP="00482E2B">
            <w:pPr>
              <w:pStyle w:val="ListParagraph"/>
              <w:numPr>
                <w:ilvl w:val="0"/>
                <w:numId w:val="49"/>
              </w:numPr>
              <w:spacing w:before="0" w:after="0"/>
              <w:textAlignment w:val="baseline"/>
              <w:rPr>
                <w:rFonts w:eastAsia="Times New Roman" w:cstheme="minorHAnsi"/>
                <w:kern w:val="0"/>
                <w:lang w:eastAsia="en-GB"/>
                <w14:ligatures w14:val="none"/>
              </w:rPr>
            </w:pPr>
            <w:r>
              <w:rPr>
                <w:rFonts w:eastAsia="Times New Roman" w:cstheme="minorHAnsi"/>
                <w:kern w:val="0"/>
                <w:lang w:eastAsia="en-GB"/>
                <w14:ligatures w14:val="none"/>
              </w:rPr>
              <w:t>I</w:t>
            </w:r>
            <w:r w:rsidRPr="00F35105">
              <w:rPr>
                <w:rFonts w:eastAsia="Times New Roman" w:cstheme="minorHAnsi"/>
                <w:kern w:val="0"/>
                <w:lang w:eastAsia="en-GB"/>
                <w14:ligatures w14:val="none"/>
              </w:rPr>
              <w:t xml:space="preserve">t has requested or received funding from the European Stability Mechanism or the European Financial Stability Facility </w:t>
            </w:r>
          </w:p>
          <w:p w14:paraId="47B6A6FE" w14:textId="77777777" w:rsidR="00482E2B" w:rsidRPr="00F35105" w:rsidRDefault="00482E2B" w:rsidP="00482E2B">
            <w:pPr>
              <w:pStyle w:val="ListParagraph"/>
              <w:numPr>
                <w:ilvl w:val="0"/>
                <w:numId w:val="49"/>
              </w:numPr>
              <w:spacing w:before="0" w:after="0"/>
              <w:textAlignment w:val="baseline"/>
              <w:rPr>
                <w:rFonts w:eastAsia="Times New Roman" w:cstheme="minorHAnsi"/>
                <w:i/>
                <w:iCs/>
                <w:kern w:val="0"/>
                <w:lang w:eastAsia="en-GB"/>
                <w14:ligatures w14:val="none"/>
              </w:rPr>
            </w:pPr>
            <w:r>
              <w:rPr>
                <w:rFonts w:eastAsia="Times New Roman" w:cstheme="minorHAnsi"/>
                <w:kern w:val="0"/>
                <w:lang w:eastAsia="en-GB"/>
                <w14:ligatures w14:val="none"/>
              </w:rPr>
              <w:t>I</w:t>
            </w:r>
            <w:r w:rsidRPr="00F35105">
              <w:rPr>
                <w:rFonts w:eastAsia="Times New Roman" w:cstheme="minorHAnsi"/>
                <w:kern w:val="0"/>
                <w:lang w:eastAsia="en-GB"/>
                <w14:ligatures w14:val="none"/>
              </w:rPr>
              <w:t xml:space="preserve">t is one of the three most significant banks established in a particular country. </w:t>
            </w:r>
          </w:p>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54C6278C" w:rsidR="003D5104" w:rsidRPr="00CF2E7C" w:rsidRDefault="00CD10F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50E805EB" w:rsidR="003D5104" w:rsidRPr="00CF2E7C" w:rsidRDefault="00CD10F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7037DCF6" w:rsidR="003D5104" w:rsidRPr="00CF2E7C" w:rsidRDefault="00CD10F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BA7450F" w14:textId="39725451" w:rsidR="00CD10F6" w:rsidRPr="00CD10F6" w:rsidRDefault="00CD10F6" w:rsidP="00CD10F6">
            <w:pPr>
              <w:textAlignment w:val="baseline"/>
              <w:rPr>
                <w:rFonts w:eastAsia="Times New Roman" w:cstheme="minorHAnsi"/>
                <w:kern w:val="0"/>
                <w:lang w:eastAsia="en-GB"/>
                <w14:ligatures w14:val="none"/>
              </w:rPr>
            </w:pPr>
            <w:r w:rsidRPr="00CD10F6">
              <w:rPr>
                <w:rFonts w:eastAsia="Times New Roman" w:cstheme="minorHAnsi"/>
                <w:kern w:val="0"/>
                <w:lang w:eastAsia="en-GB"/>
                <w14:ligatures w14:val="none"/>
              </w:rPr>
              <w:t xml:space="preserve">Three long-term scenarios (2.1. </w:t>
            </w:r>
            <w:r>
              <w:rPr>
                <w:rFonts w:eastAsia="Times New Roman" w:cstheme="minorHAnsi"/>
                <w:kern w:val="0"/>
                <w:lang w:eastAsia="en-GB"/>
                <w14:ligatures w14:val="none"/>
              </w:rPr>
              <w:t>m</w:t>
            </w:r>
            <w:r w:rsidRPr="00CD10F6">
              <w:rPr>
                <w:rFonts w:eastAsia="Times New Roman" w:cstheme="minorHAnsi"/>
                <w:kern w:val="0"/>
                <w:lang w:eastAsia="en-GB"/>
                <w14:ligatures w14:val="none"/>
              </w:rPr>
              <w:t xml:space="preserve">ethodology and scenarios): </w:t>
            </w:r>
          </w:p>
          <w:p w14:paraId="3B112CD6" w14:textId="01E541A9" w:rsidR="00CD10F6" w:rsidRPr="00CD10F6" w:rsidRDefault="00CD10F6" w:rsidP="00CD10F6">
            <w:pPr>
              <w:pStyle w:val="ListParagraph"/>
              <w:numPr>
                <w:ilvl w:val="0"/>
                <w:numId w:val="50"/>
              </w:numPr>
              <w:spacing w:before="0" w:after="0"/>
              <w:textAlignment w:val="baseline"/>
              <w:rPr>
                <w:rFonts w:eastAsia="Times New Roman" w:cstheme="minorHAnsi"/>
                <w:kern w:val="0"/>
                <w:lang w:eastAsia="en-GB"/>
                <w14:ligatures w14:val="none"/>
              </w:rPr>
            </w:pPr>
            <w:r w:rsidRPr="00CD10F6">
              <w:rPr>
                <w:rFonts w:eastAsia="Times New Roman" w:cstheme="minorHAnsi"/>
                <w:kern w:val="0"/>
                <w:lang w:eastAsia="en-GB"/>
                <w14:ligatures w14:val="none"/>
              </w:rPr>
              <w:t xml:space="preserve">The “orderly scenario”: </w:t>
            </w:r>
            <w:r>
              <w:rPr>
                <w:rFonts w:eastAsia="Times New Roman" w:cstheme="minorHAnsi"/>
                <w:kern w:val="0"/>
                <w:lang w:eastAsia="en-GB"/>
                <w14:ligatures w14:val="none"/>
              </w:rPr>
              <w:t>c</w:t>
            </w:r>
            <w:r w:rsidRPr="00CD10F6">
              <w:rPr>
                <w:rFonts w:eastAsia="Times New Roman" w:cstheme="minorHAnsi"/>
                <w:kern w:val="0"/>
                <w:lang w:eastAsia="en-GB"/>
                <w14:ligatures w14:val="none"/>
              </w:rPr>
              <w:t>limate policies are introduced early and gradually become more stringent</w:t>
            </w:r>
            <w:r w:rsidR="002442B6">
              <w:rPr>
                <w:rFonts w:eastAsia="Times New Roman" w:cstheme="minorHAnsi"/>
                <w:kern w:val="0"/>
                <w:lang w:eastAsia="en-GB"/>
                <w14:ligatures w14:val="none"/>
              </w:rPr>
              <w:t xml:space="preserve">, under </w:t>
            </w:r>
            <w:r w:rsidRPr="00CD10F6">
              <w:rPr>
                <w:rFonts w:eastAsia="Times New Roman" w:cstheme="minorHAnsi"/>
                <w:kern w:val="0"/>
                <w:lang w:eastAsia="en-GB"/>
                <w14:ligatures w14:val="none"/>
              </w:rPr>
              <w:t xml:space="preserve">which global warming is limited to 1.5°C </w:t>
            </w:r>
          </w:p>
          <w:p w14:paraId="1CF1E629" w14:textId="7F8765D0" w:rsidR="00CD10F6" w:rsidRPr="00CD10F6" w:rsidRDefault="00CD10F6" w:rsidP="00CD10F6">
            <w:pPr>
              <w:pStyle w:val="ListParagraph"/>
              <w:numPr>
                <w:ilvl w:val="0"/>
                <w:numId w:val="50"/>
              </w:numPr>
              <w:spacing w:before="0" w:after="0"/>
              <w:textAlignment w:val="baseline"/>
              <w:rPr>
                <w:rFonts w:eastAsia="Times New Roman" w:cstheme="minorHAnsi"/>
                <w:kern w:val="0"/>
                <w:lang w:eastAsia="en-GB"/>
                <w14:ligatures w14:val="none"/>
              </w:rPr>
            </w:pPr>
            <w:r w:rsidRPr="00CD10F6">
              <w:rPr>
                <w:rFonts w:eastAsia="Times New Roman" w:cstheme="minorHAnsi"/>
                <w:kern w:val="0"/>
                <w:lang w:eastAsia="en-GB"/>
                <w14:ligatures w14:val="none"/>
              </w:rPr>
              <w:t>The “disorderly scenario”: higher transition risk due to delays in the implementation of policies</w:t>
            </w:r>
            <w:r w:rsidR="002442B6">
              <w:rPr>
                <w:rFonts w:eastAsia="Times New Roman" w:cstheme="minorHAnsi"/>
                <w:kern w:val="0"/>
                <w:lang w:eastAsia="en-GB"/>
                <w14:ligatures w14:val="none"/>
              </w:rPr>
              <w:t xml:space="preserve">, </w:t>
            </w:r>
            <w:r w:rsidRPr="00CD10F6">
              <w:rPr>
                <w:rFonts w:eastAsia="Times New Roman" w:cstheme="minorHAnsi"/>
                <w:kern w:val="0"/>
                <w:lang w:eastAsia="en-GB"/>
                <w14:ligatures w14:val="none"/>
              </w:rPr>
              <w:t>assum</w:t>
            </w:r>
            <w:r w:rsidR="002442B6">
              <w:rPr>
                <w:rFonts w:eastAsia="Times New Roman" w:cstheme="minorHAnsi"/>
                <w:kern w:val="0"/>
                <w:lang w:eastAsia="en-GB"/>
                <w14:ligatures w14:val="none"/>
              </w:rPr>
              <w:t>ing</w:t>
            </w:r>
            <w:r w:rsidRPr="00CD10F6">
              <w:rPr>
                <w:rFonts w:eastAsia="Times New Roman" w:cstheme="minorHAnsi"/>
                <w:kern w:val="0"/>
                <w:lang w:eastAsia="en-GB"/>
                <w14:ligatures w14:val="none"/>
              </w:rPr>
              <w:t xml:space="preserve"> new climate policies are not introduced until 2030.</w:t>
            </w:r>
          </w:p>
          <w:p w14:paraId="07177343" w14:textId="2FA047F4" w:rsidR="00CD10F6" w:rsidRPr="00CD10F6" w:rsidRDefault="00CD10F6" w:rsidP="00CD10F6">
            <w:pPr>
              <w:pStyle w:val="ListParagraph"/>
              <w:numPr>
                <w:ilvl w:val="0"/>
                <w:numId w:val="50"/>
              </w:numPr>
              <w:spacing w:before="0" w:after="0"/>
              <w:textAlignment w:val="baseline"/>
              <w:rPr>
                <w:rFonts w:eastAsia="Times New Roman" w:cstheme="minorHAnsi"/>
                <w:kern w:val="0"/>
                <w:lang w:eastAsia="en-GB"/>
                <w14:ligatures w14:val="none"/>
              </w:rPr>
            </w:pPr>
            <w:r w:rsidRPr="00CD10F6">
              <w:rPr>
                <w:rFonts w:eastAsia="Times New Roman" w:cstheme="minorHAnsi"/>
                <w:kern w:val="0"/>
                <w:lang w:eastAsia="en-GB"/>
                <w14:ligatures w14:val="none"/>
              </w:rPr>
              <w:t>The “hot house world scenario”: no new climate policies are implemented.</w:t>
            </w:r>
          </w:p>
          <w:p w14:paraId="29AD85F1" w14:textId="4D382886" w:rsidR="00CD10F6" w:rsidRPr="00CD10F6" w:rsidRDefault="00CD10F6" w:rsidP="00CD10F6">
            <w:pPr>
              <w:textAlignment w:val="baseline"/>
              <w:rPr>
                <w:rFonts w:eastAsia="Times New Roman" w:cstheme="minorHAnsi"/>
                <w:kern w:val="0"/>
                <w:lang w:eastAsia="en-GB"/>
                <w14:ligatures w14:val="none"/>
              </w:rPr>
            </w:pPr>
            <w:r w:rsidRPr="00CD10F6">
              <w:rPr>
                <w:rFonts w:eastAsia="Times New Roman" w:cstheme="minorHAnsi"/>
                <w:kern w:val="0"/>
                <w:lang w:eastAsia="en-GB"/>
                <w14:ligatures w14:val="none"/>
              </w:rPr>
              <w:t xml:space="preserve">Three short-term risk </w:t>
            </w:r>
            <w:r w:rsidR="0045095C" w:rsidRPr="00CD10F6">
              <w:rPr>
                <w:rFonts w:eastAsia="Times New Roman" w:cstheme="minorHAnsi"/>
                <w:kern w:val="0"/>
                <w:lang w:eastAsia="en-GB"/>
                <w14:ligatures w14:val="none"/>
              </w:rPr>
              <w:t>scenarios</w:t>
            </w:r>
            <w:r w:rsidRPr="00CD10F6">
              <w:rPr>
                <w:rFonts w:eastAsia="Times New Roman" w:cstheme="minorHAnsi"/>
                <w:kern w:val="0"/>
                <w:lang w:eastAsia="en-GB"/>
                <w14:ligatures w14:val="none"/>
              </w:rPr>
              <w:t xml:space="preserve"> (2.1. </w:t>
            </w:r>
            <w:r>
              <w:rPr>
                <w:rFonts w:eastAsia="Times New Roman" w:cstheme="minorHAnsi"/>
                <w:kern w:val="0"/>
                <w:lang w:eastAsia="en-GB"/>
                <w14:ligatures w14:val="none"/>
              </w:rPr>
              <w:t>m</w:t>
            </w:r>
            <w:r w:rsidRPr="00CD10F6">
              <w:rPr>
                <w:rFonts w:eastAsia="Times New Roman" w:cstheme="minorHAnsi"/>
                <w:kern w:val="0"/>
                <w:lang w:eastAsia="en-GB"/>
                <w14:ligatures w14:val="none"/>
              </w:rPr>
              <w:t xml:space="preserve">ethodology and scenarios): </w:t>
            </w:r>
          </w:p>
          <w:p w14:paraId="00F835A9" w14:textId="77777777" w:rsidR="00CD10F6" w:rsidRPr="00CD10F6" w:rsidRDefault="00CD10F6" w:rsidP="00CD10F6">
            <w:pPr>
              <w:pStyle w:val="ListParagraph"/>
              <w:numPr>
                <w:ilvl w:val="0"/>
                <w:numId w:val="51"/>
              </w:numPr>
              <w:spacing w:before="0" w:after="0"/>
              <w:textAlignment w:val="baseline"/>
              <w:rPr>
                <w:rFonts w:eastAsia="Times New Roman" w:cstheme="minorHAnsi"/>
                <w:kern w:val="0"/>
                <w:lang w:eastAsia="en-GB"/>
                <w14:ligatures w14:val="none"/>
              </w:rPr>
            </w:pPr>
            <w:r w:rsidRPr="00CD10F6">
              <w:rPr>
                <w:rFonts w:eastAsia="Times New Roman" w:cstheme="minorHAnsi"/>
                <w:kern w:val="0"/>
                <w:lang w:eastAsia="en-GB"/>
                <w14:ligatures w14:val="none"/>
              </w:rPr>
              <w:t>The “disorderly scenario”: carbon price increase is frontloaded to 2022, 2023, and 2024 with an instantaneous shock to asset valuation.</w:t>
            </w:r>
          </w:p>
          <w:p w14:paraId="4D2F5655" w14:textId="4AA85C64" w:rsidR="00CD10F6" w:rsidRPr="00CD10F6" w:rsidRDefault="00CD10F6" w:rsidP="00CD10F6">
            <w:pPr>
              <w:pStyle w:val="ListParagraph"/>
              <w:numPr>
                <w:ilvl w:val="0"/>
                <w:numId w:val="51"/>
              </w:numPr>
              <w:spacing w:before="0" w:after="0"/>
              <w:textAlignment w:val="baseline"/>
              <w:rPr>
                <w:rFonts w:eastAsia="Times New Roman" w:cstheme="minorHAnsi"/>
                <w:kern w:val="0"/>
                <w:lang w:eastAsia="en-GB"/>
                <w14:ligatures w14:val="none"/>
              </w:rPr>
            </w:pPr>
            <w:r w:rsidRPr="00CD10F6">
              <w:rPr>
                <w:rFonts w:eastAsia="Times New Roman" w:cstheme="minorHAnsi"/>
                <w:kern w:val="0"/>
                <w:lang w:eastAsia="en-GB"/>
                <w14:ligatures w14:val="none"/>
              </w:rPr>
              <w:t>The “drought and heat scenario”: models the economic effects of a severe drought and heatwave assumed to hit Europe</w:t>
            </w:r>
            <w:r>
              <w:rPr>
                <w:rFonts w:eastAsia="Times New Roman" w:cstheme="minorHAnsi"/>
                <w:kern w:val="0"/>
                <w:lang w:eastAsia="en-GB"/>
                <w14:ligatures w14:val="none"/>
              </w:rPr>
              <w:t>.</w:t>
            </w:r>
            <w:r w:rsidRPr="00CD10F6">
              <w:rPr>
                <w:rFonts w:eastAsia="Times New Roman" w:cstheme="minorHAnsi"/>
                <w:kern w:val="0"/>
                <w:lang w:eastAsia="en-GB"/>
                <w14:ligatures w14:val="none"/>
              </w:rPr>
              <w:t xml:space="preserve">  </w:t>
            </w:r>
          </w:p>
          <w:p w14:paraId="61111CBE" w14:textId="0486D873" w:rsidR="003D5104" w:rsidRPr="00CD10F6" w:rsidRDefault="00CD10F6" w:rsidP="00CD10F6">
            <w:pPr>
              <w:pStyle w:val="ListParagraph"/>
              <w:numPr>
                <w:ilvl w:val="0"/>
                <w:numId w:val="51"/>
              </w:numPr>
              <w:spacing w:before="0" w:after="0"/>
              <w:textAlignment w:val="baseline"/>
              <w:rPr>
                <w:rFonts w:eastAsia="Times New Roman" w:cstheme="minorHAnsi"/>
                <w:kern w:val="0"/>
                <w:lang w:eastAsia="en-GB"/>
                <w14:ligatures w14:val="none"/>
              </w:rPr>
            </w:pPr>
            <w:r w:rsidRPr="00CD10F6">
              <w:rPr>
                <w:rFonts w:eastAsia="Times New Roman" w:cstheme="minorHAnsi"/>
                <w:kern w:val="0"/>
                <w:lang w:eastAsia="en-GB"/>
                <w14:ligatures w14:val="none"/>
              </w:rPr>
              <w:t>The “flood risk scenario”: models severe floods taking place across Europe.</w:t>
            </w: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0571C9E" w:rsidR="00BE1F9E" w:rsidRPr="00CF2E7C" w:rsidRDefault="0075680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1D3668A9" w:rsidR="00BE1F9E" w:rsidRPr="00CF2E7C" w:rsidRDefault="0075680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6B36C218" w:rsidR="00BE1F9E" w:rsidRPr="00CF2E7C" w:rsidRDefault="002442B6" w:rsidP="00CF2E7C">
            <w:pPr>
              <w:textAlignment w:val="baseline"/>
              <w:rPr>
                <w:rFonts w:ascii="Calibri" w:eastAsia="Times New Roman" w:hAnsi="Calibri" w:cs="Calibri"/>
                <w:kern w:val="0"/>
                <w:lang w:eastAsia="en-GB"/>
                <w14:ligatures w14:val="none"/>
              </w:rPr>
            </w:pPr>
            <w:r w:rsidRPr="00A85279">
              <w:rPr>
                <w:rFonts w:eastAsia="Times New Roman" w:cstheme="minorHAnsi"/>
                <w:kern w:val="0"/>
                <w:lang w:eastAsia="en-GB"/>
                <w14:ligatures w14:val="none"/>
              </w:rPr>
              <w:t xml:space="preserve">The long-term scenarios </w:t>
            </w:r>
            <w:r w:rsidRPr="00F35105">
              <w:rPr>
                <w:rFonts w:eastAsia="Times New Roman" w:cstheme="minorHAnsi"/>
                <w:kern w:val="0"/>
                <w:lang w:eastAsia="en-GB"/>
                <w14:ligatures w14:val="none"/>
              </w:rPr>
              <w:t xml:space="preserve">are based on the NGFS Phase II scenarios </w:t>
            </w:r>
            <w:r w:rsidRPr="00A85279">
              <w:rPr>
                <w:rFonts w:eastAsia="Times New Roman" w:cstheme="minorHAnsi"/>
                <w:kern w:val="0"/>
                <w:lang w:eastAsia="en-GB"/>
                <w14:ligatures w14:val="none"/>
              </w:rPr>
              <w:t>(</w:t>
            </w:r>
            <w:r>
              <w:rPr>
                <w:rFonts w:eastAsia="Times New Roman" w:cstheme="minorHAnsi"/>
                <w:kern w:val="0"/>
                <w:lang w:eastAsia="en-GB"/>
                <w14:ligatures w14:val="none"/>
              </w:rPr>
              <w:t>section 2.1 m</w:t>
            </w:r>
            <w:r w:rsidRPr="00A85279">
              <w:rPr>
                <w:rFonts w:eastAsia="Times New Roman" w:cstheme="minorHAnsi"/>
                <w:kern w:val="0"/>
                <w:lang w:eastAsia="en-GB"/>
                <w14:ligatures w14:val="none"/>
              </w:rPr>
              <w:t>ethodology and scenarios).</w:t>
            </w:r>
            <w:r w:rsidRPr="00F35105">
              <w:rPr>
                <w:rFonts w:eastAsia="Times New Roman" w:cstheme="minorHAnsi"/>
                <w:kern w:val="0"/>
                <w:lang w:eastAsia="en-GB"/>
                <w14:ligatures w14:val="none"/>
              </w:rPr>
              <w:t xml:space="preserve"> The short-term disorderly scenario is based on the NGFS delayed transition scenario; the drought and heat scenario </w:t>
            </w:r>
            <w:proofErr w:type="gramStart"/>
            <w:r w:rsidRPr="00F35105">
              <w:rPr>
                <w:rFonts w:eastAsia="Times New Roman" w:cstheme="minorHAnsi"/>
                <w:kern w:val="0"/>
                <w:lang w:eastAsia="en-GB"/>
                <w14:ligatures w14:val="none"/>
              </w:rPr>
              <w:t>is</w:t>
            </w:r>
            <w:proofErr w:type="gramEnd"/>
            <w:r w:rsidRPr="00F35105">
              <w:rPr>
                <w:rFonts w:eastAsia="Times New Roman" w:cstheme="minorHAnsi"/>
                <w:kern w:val="0"/>
                <w:lang w:eastAsia="en-GB"/>
                <w14:ligatures w14:val="none"/>
              </w:rPr>
              <w:t xml:space="preserve"> based on NGFS estimates for labour productivity shocks due to heat stress; the flood risk scenario is chosen internally based on the fact that river flooding has historically been a major source of physical risk in Europe </w:t>
            </w:r>
            <w:r w:rsidRPr="00A85279">
              <w:rPr>
                <w:rFonts w:eastAsia="Times New Roman" w:cstheme="minorHAnsi"/>
                <w:kern w:val="0"/>
                <w:lang w:eastAsia="en-GB"/>
                <w14:ligatures w14:val="none"/>
              </w:rPr>
              <w:t>(</w:t>
            </w:r>
            <w:r>
              <w:rPr>
                <w:rFonts w:eastAsia="Times New Roman" w:cstheme="minorHAnsi"/>
                <w:kern w:val="0"/>
                <w:lang w:eastAsia="en-GB"/>
                <w14:ligatures w14:val="none"/>
              </w:rPr>
              <w:t>section 2.1 m</w:t>
            </w:r>
            <w:r w:rsidRPr="00A85279">
              <w:rPr>
                <w:rFonts w:eastAsia="Times New Roman" w:cstheme="minorHAnsi"/>
                <w:kern w:val="0"/>
                <w:lang w:eastAsia="en-GB"/>
                <w14:ligatures w14:val="none"/>
              </w:rPr>
              <w:t>ethodology and scenarios)</w:t>
            </w:r>
            <w:r w:rsidRPr="00F35105">
              <w:rPr>
                <w:rFonts w:eastAsia="Times New Roman" w:cstheme="minorHAnsi"/>
                <w:kern w:val="0"/>
                <w:lang w:eastAsia="en-GB"/>
                <w14:ligatures w14:val="none"/>
              </w:rPr>
              <w:t>.</w:t>
            </w: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2EC0FAB8" w:rsidR="00DC31BF" w:rsidRPr="00CF2E7C" w:rsidRDefault="002442B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2DA1097D" w:rsidR="0098226E" w:rsidRPr="00CF2E7C" w:rsidRDefault="002442B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7452BE24"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1121F930" w:rsidR="00F10A6E" w:rsidRPr="00CF2E7C" w:rsidRDefault="002442B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477DC453" w:rsidR="00F10A6E" w:rsidRPr="00CF2E7C" w:rsidRDefault="002442B6" w:rsidP="00CF2E7C">
            <w:pPr>
              <w:textAlignment w:val="baseline"/>
              <w:rPr>
                <w:rFonts w:ascii="Calibri" w:eastAsia="Times New Roman" w:hAnsi="Calibri" w:cs="Calibri"/>
                <w:kern w:val="0"/>
                <w:lang w:eastAsia="en-GB"/>
                <w14:ligatures w14:val="none"/>
              </w:rPr>
            </w:pPr>
            <w:r w:rsidRPr="002442B6">
              <w:rPr>
                <w:rFonts w:ascii="Calibri" w:eastAsia="Times New Roman" w:hAnsi="Calibri" w:cs="Calibri"/>
                <w:kern w:val="0"/>
                <w:lang w:eastAsia="en-GB"/>
                <w14:ligatures w14:val="none"/>
              </w:rPr>
              <w:t xml:space="preserve">For transition risks, the 2022 CST covered </w:t>
            </w:r>
            <w:r w:rsidR="0045095C" w:rsidRPr="002442B6">
              <w:rPr>
                <w:rFonts w:ascii="Calibri" w:eastAsia="Times New Roman" w:hAnsi="Calibri" w:cs="Calibri"/>
                <w:kern w:val="0"/>
                <w:lang w:eastAsia="en-GB"/>
                <w14:ligatures w14:val="none"/>
              </w:rPr>
              <w:t>two-time</w:t>
            </w:r>
            <w:r w:rsidRPr="002442B6">
              <w:rPr>
                <w:rFonts w:ascii="Calibri" w:eastAsia="Times New Roman" w:hAnsi="Calibri" w:cs="Calibri"/>
                <w:kern w:val="0"/>
                <w:lang w:eastAsia="en-GB"/>
                <w14:ligatures w14:val="none"/>
              </w:rPr>
              <w:t xml:space="preserve"> horizons. The first was a long-term 30-year horizon. The second was a short-term three-year horizon (</w:t>
            </w:r>
            <w:r>
              <w:rPr>
                <w:rFonts w:ascii="Calibri" w:eastAsia="Times New Roman" w:hAnsi="Calibri" w:cs="Calibri"/>
                <w:kern w:val="0"/>
                <w:lang w:eastAsia="en-GB"/>
                <w14:ligatures w14:val="none"/>
              </w:rPr>
              <w:t xml:space="preserve">section </w:t>
            </w:r>
            <w:r w:rsidRPr="002442B6">
              <w:rPr>
                <w:rFonts w:ascii="Calibri" w:eastAsia="Times New Roman" w:hAnsi="Calibri" w:cs="Calibri"/>
                <w:kern w:val="0"/>
                <w:lang w:eastAsia="en-GB"/>
                <w14:ligatures w14:val="none"/>
              </w:rPr>
              <w:t>2.1. methodology and scenarios)</w:t>
            </w:r>
            <w:r>
              <w:rPr>
                <w:rFonts w:ascii="Calibri" w:eastAsia="Times New Roman" w:hAnsi="Calibri" w:cs="Calibri"/>
                <w:kern w:val="0"/>
                <w:lang w:eastAsia="en-GB"/>
                <w14:ligatures w14:val="none"/>
              </w:rPr>
              <w:t>.</w:t>
            </w: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14567A2A" w:rsidR="00F26296" w:rsidRPr="00CF2E7C" w:rsidRDefault="006543B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549963EA" w:rsidR="00F26296" w:rsidRPr="00CF2E7C" w:rsidRDefault="006543B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F8DA003" w14:textId="7A8ACD43" w:rsidR="00C11E72" w:rsidRDefault="006543BB" w:rsidP="00C11E72">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After the 2022 CST, the ECB communicated to the banks a detailed assessment of their performance and level of preparedness for climate-related risks. The stress test findings will be integrated into the SREP in a qualitative way (section 6</w:t>
            </w:r>
            <w:r w:rsidR="00C11E72">
              <w:rPr>
                <w:rFonts w:eastAsia="Times New Roman" w:cstheme="minorHAnsi"/>
                <w:kern w:val="0"/>
                <w:lang w:eastAsia="en-GB"/>
                <w14:ligatures w14:val="none"/>
              </w:rPr>
              <w:t>.1</w:t>
            </w:r>
            <w:r>
              <w:rPr>
                <w:rFonts w:eastAsia="Times New Roman" w:cstheme="minorHAnsi"/>
                <w:kern w:val="0"/>
                <w:lang w:eastAsia="en-GB"/>
                <w14:ligatures w14:val="none"/>
              </w:rPr>
              <w:t>, supervisory follow-up).</w:t>
            </w:r>
            <w:r w:rsidR="00C11E72">
              <w:rPr>
                <w:rFonts w:eastAsia="Times New Roman" w:cstheme="minorHAnsi"/>
                <w:kern w:val="0"/>
                <w:lang w:eastAsia="en-GB"/>
                <w14:ligatures w14:val="none"/>
              </w:rPr>
              <w:t xml:space="preserve"> </w:t>
            </w:r>
          </w:p>
          <w:p w14:paraId="54A66E49" w14:textId="39EB2304" w:rsidR="00F26296" w:rsidRDefault="00C11E72" w:rsidP="00C11E72">
            <w:pPr>
              <w:textAlignment w:val="baseline"/>
              <w:rPr>
                <w:rFonts w:eastAsia="Times New Roman" w:cstheme="minorHAnsi"/>
                <w:kern w:val="0"/>
                <w:lang w:eastAsia="en-GB"/>
                <w14:ligatures w14:val="none"/>
              </w:rPr>
            </w:pPr>
            <w:r w:rsidRPr="00C11E72">
              <w:rPr>
                <w:rFonts w:eastAsia="Times New Roman" w:cstheme="minorHAnsi"/>
                <w:kern w:val="0"/>
                <w:lang w:eastAsia="en-GB"/>
                <w14:ligatures w14:val="none"/>
              </w:rPr>
              <w:t>To help banks make further progress, the ECB will carry out follow-up work to provide guidance on best practices and suggestions on how to overcome the obstacles and challenges that some institutions are currently facing</w:t>
            </w:r>
            <w:r>
              <w:rPr>
                <w:rFonts w:eastAsia="Times New Roman" w:cstheme="minorHAnsi"/>
                <w:kern w:val="0"/>
                <w:lang w:eastAsia="en-GB"/>
                <w14:ligatures w14:val="none"/>
              </w:rPr>
              <w:t xml:space="preserve"> </w:t>
            </w:r>
            <w:r w:rsidR="00AE4A50">
              <w:rPr>
                <w:rFonts w:eastAsia="Times New Roman" w:cstheme="minorHAnsi"/>
                <w:kern w:val="0"/>
                <w:lang w:eastAsia="en-GB"/>
                <w14:ligatures w14:val="none"/>
              </w:rPr>
              <w:t xml:space="preserve">with respect to climate risk stress testing </w:t>
            </w:r>
            <w:r>
              <w:rPr>
                <w:rFonts w:eastAsia="Times New Roman" w:cstheme="minorHAnsi"/>
                <w:kern w:val="0"/>
                <w:lang w:eastAsia="en-GB"/>
                <w14:ligatures w14:val="none"/>
              </w:rPr>
              <w:t>(section 6.2, guidance on “best practices”)</w:t>
            </w:r>
            <w:r w:rsidRPr="00C11E72">
              <w:rPr>
                <w:rFonts w:eastAsia="Times New Roman" w:cstheme="minorHAnsi"/>
                <w:kern w:val="0"/>
                <w:lang w:eastAsia="en-GB"/>
                <w14:ligatures w14:val="none"/>
              </w:rPr>
              <w:t>.</w:t>
            </w:r>
          </w:p>
          <w:p w14:paraId="61446A9C" w14:textId="77777777" w:rsidR="00C11E72" w:rsidRDefault="00C11E72" w:rsidP="00CF2E7C">
            <w:pPr>
              <w:textAlignment w:val="baseline"/>
              <w:rPr>
                <w:rFonts w:eastAsia="Times New Roman" w:cstheme="minorHAnsi"/>
                <w:kern w:val="0"/>
                <w:lang w:eastAsia="en-GB"/>
                <w14:ligatures w14:val="none"/>
              </w:rPr>
            </w:pPr>
          </w:p>
          <w:p w14:paraId="02DA5710" w14:textId="2DE32055" w:rsidR="00C11E72" w:rsidRPr="00CF2E7C" w:rsidRDefault="00C11E72"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1B39479F" w:rsidR="00F26296" w:rsidRPr="00CF2E7C" w:rsidRDefault="00C11E7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066C9877" w:rsidR="00F26296" w:rsidRPr="00CF2E7C" w:rsidRDefault="00C11E7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30D0ABDD"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lastRenderedPageBreak/>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2DDF27FB" w:rsidR="00702413" w:rsidRPr="009C4D10" w:rsidRDefault="00C831F3" w:rsidP="00CF2E7C">
            <w:pPr>
              <w:textAlignment w:val="baseline"/>
              <w:rPr>
                <w:rFonts w:eastAsia="Times New Roman" w:cstheme="minorHAnsi"/>
                <w:kern w:val="0"/>
                <w:lang w:eastAsia="en-GB"/>
                <w14:ligatures w14:val="none"/>
              </w:rPr>
            </w:pPr>
            <w:r w:rsidRPr="00C831F3">
              <w:rPr>
                <w:rFonts w:eastAsia="Times New Roman" w:cstheme="minorHAnsi"/>
                <w:kern w:val="0"/>
                <w:lang w:eastAsia="en-GB"/>
                <w14:ligatures w14:val="none"/>
              </w:rPr>
              <w:t>The main challenges identified are: (1) data gaps; (2) banks' limited ability to collect relevant data; (3) the absence of harmonised legislation on energy performance certificates and greenhouse gas emissions disclosure; and (4) the early stage of climate risk modelling and its integration into existing risk frameworks</w:t>
            </w:r>
            <w:r>
              <w:rPr>
                <w:rFonts w:eastAsia="Times New Roman" w:cstheme="minorHAnsi"/>
                <w:kern w:val="0"/>
                <w:lang w:eastAsia="en-GB"/>
                <w14:ligatures w14:val="none"/>
              </w:rPr>
              <w:t xml:space="preserve"> (executive summary; section 4.3. scenario analysis).</w:t>
            </w: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55E29F4D" w:rsidR="00FE0EA5" w:rsidRPr="009C4D10" w:rsidRDefault="00C831F3" w:rsidP="00CF2E7C">
            <w:pPr>
              <w:rPr>
                <w:rFonts w:cstheme="minorHAnsi"/>
              </w:rPr>
            </w:pPr>
            <w:r>
              <w:rPr>
                <w:rFonts w:cstheme="minorHAnsi"/>
                <w:lang w:val="en-SG"/>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1F780A0" w:rsidR="00FE0EA5" w:rsidRPr="009C4D10" w:rsidRDefault="00C831F3" w:rsidP="00CF2E7C">
            <w:pPr>
              <w:rPr>
                <w:rFonts w:cstheme="minorHAnsi"/>
              </w:rPr>
            </w:pPr>
            <w:r>
              <w:rPr>
                <w:rFonts w:cstheme="minorHAnsi"/>
                <w:lang w:val="en-SG"/>
              </w:rPr>
              <w:t>X</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000000" w:rsidP="00CF2E7C">
            <w:pPr>
              <w:rPr>
                <w:rFonts w:cstheme="minorHAnsi"/>
              </w:rPr>
            </w:pPr>
            <w:hyperlink r:id="rId18"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2A802E5E" w:rsidR="00FE0EA5" w:rsidRPr="009C4D10" w:rsidRDefault="00C831F3" w:rsidP="00CF2E7C">
            <w:pPr>
              <w:rPr>
                <w:rFonts w:cstheme="minorHAnsi"/>
              </w:rPr>
            </w:pPr>
            <w:r>
              <w:rPr>
                <w:rFonts w:cstheme="minorHAnsi"/>
                <w:lang w:val="en-SG"/>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000000" w:rsidP="00CF2E7C">
            <w:pPr>
              <w:rPr>
                <w:rFonts w:cstheme="minorHAnsi"/>
              </w:rPr>
            </w:pPr>
            <w:hyperlink r:id="rId19"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41F67BC9" w:rsidR="00FE0EA5" w:rsidRPr="009C4D10" w:rsidRDefault="00C831F3" w:rsidP="00CF2E7C">
            <w:pPr>
              <w:rPr>
                <w:rFonts w:cstheme="minorHAnsi"/>
              </w:rPr>
            </w:pPr>
            <w:r>
              <w:rPr>
                <w:rFonts w:cstheme="minorHAnsi"/>
                <w:lang w:val="en-SG"/>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6411C788" w:rsidR="00FE0EA5" w:rsidRPr="009C4D10" w:rsidRDefault="00C831F3" w:rsidP="00CF2E7C">
            <w:pPr>
              <w:rPr>
                <w:rFonts w:cstheme="minorHAnsi"/>
              </w:rPr>
            </w:pPr>
            <w:r>
              <w:rPr>
                <w:rFonts w:cstheme="minorHAnsi"/>
                <w:lang w:val="en-SG"/>
              </w:rPr>
              <w:t>X</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10970761" w:rsidR="00FE0EA5" w:rsidRPr="009C4D10" w:rsidRDefault="00C831F3" w:rsidP="00CF2E7C">
            <w:pPr>
              <w:rPr>
                <w:rFonts w:cstheme="minorHAnsi"/>
              </w:rPr>
            </w:pPr>
            <w:r>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40C8513A" w:rsidR="00FE0EA5" w:rsidRPr="009C4D10" w:rsidRDefault="00C831F3" w:rsidP="00CF2E7C">
            <w:pPr>
              <w:rPr>
                <w:rFonts w:cstheme="minorHAnsi"/>
              </w:rPr>
            </w:pPr>
            <w:r>
              <w:rPr>
                <w:rFonts w:cstheme="minorHAnsi"/>
                <w:lang w:val="en-SG"/>
              </w:rPr>
              <w:t>X</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7468D4"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7468D4" w:rsidRDefault="002F0752" w:rsidP="00CF2E7C">
            <w:pPr>
              <w:rPr>
                <w:rFonts w:ascii="Calibri" w:hAnsi="Calibri" w:cs="Calibri"/>
                <w:lang w:val="fr-FR"/>
              </w:rPr>
            </w:pPr>
            <w:r w:rsidRPr="007468D4">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7468D4" w:rsidRDefault="002F0752" w:rsidP="00CF2E7C">
            <w:pPr>
              <w:rPr>
                <w:rFonts w:ascii="Calibri" w:hAnsi="Calibri" w:cs="Calibri"/>
                <w:lang w:val="fr-FR"/>
              </w:rPr>
            </w:pPr>
          </w:p>
        </w:tc>
      </w:tr>
      <w:tr w:rsidR="002F0752" w:rsidRPr="006840C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CC67FE" w14:textId="77777777" w:rsidR="001E6BB8" w:rsidRDefault="001E6BB8" w:rsidP="00874E39">
      <w:r>
        <w:separator/>
      </w:r>
    </w:p>
  </w:endnote>
  <w:endnote w:type="continuationSeparator" w:id="0">
    <w:p w14:paraId="54AEACE3" w14:textId="77777777" w:rsidR="001E6BB8" w:rsidRDefault="001E6BB8" w:rsidP="00874E39">
      <w:r>
        <w:continuationSeparator/>
      </w:r>
    </w:p>
  </w:endnote>
  <w:endnote w:type="continuationNotice" w:id="1">
    <w:p w14:paraId="386A7A88" w14:textId="77777777" w:rsidR="001E6BB8" w:rsidRDefault="001E6BB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altName w:val="Times New Roman PSMT"/>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w16du="http://schemas.microsoft.com/office/word/2023/wordml/word16du" xmlns:w16sdtfl="http://schemas.microsoft.com/office/word/2024/wordml/sdtformatlo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490C95" w14:textId="77777777" w:rsidR="001E6BB8" w:rsidRDefault="001E6BB8" w:rsidP="00874E39">
      <w:r>
        <w:separator/>
      </w:r>
    </w:p>
  </w:footnote>
  <w:footnote w:type="continuationSeparator" w:id="0">
    <w:p w14:paraId="790BBEB1" w14:textId="77777777" w:rsidR="001E6BB8" w:rsidRDefault="001E6BB8" w:rsidP="00874E39">
      <w:r>
        <w:continuationSeparator/>
      </w:r>
    </w:p>
  </w:footnote>
  <w:footnote w:type="continuationNotice" w:id="1">
    <w:p w14:paraId="4F6AB0C3" w14:textId="77777777" w:rsidR="001E6BB8" w:rsidRDefault="001E6BB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81C442B"/>
    <w:multiLevelType w:val="hybridMultilevel"/>
    <w:tmpl w:val="D66A211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08652B1"/>
    <w:multiLevelType w:val="hybridMultilevel"/>
    <w:tmpl w:val="31DC4B9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50" w15:restartNumberingAfterBreak="0">
    <w:nsid w:val="7EBE2222"/>
    <w:multiLevelType w:val="hybridMultilevel"/>
    <w:tmpl w:val="83E425B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680666882">
    <w:abstractNumId w:val="16"/>
  </w:num>
  <w:num w:numId="2" w16cid:durableId="482308869">
    <w:abstractNumId w:val="24"/>
  </w:num>
  <w:num w:numId="3" w16cid:durableId="690952733">
    <w:abstractNumId w:val="43"/>
  </w:num>
  <w:num w:numId="4" w16cid:durableId="1689330127">
    <w:abstractNumId w:val="1"/>
  </w:num>
  <w:num w:numId="5" w16cid:durableId="401291788">
    <w:abstractNumId w:val="29"/>
  </w:num>
  <w:num w:numId="6" w16cid:durableId="1276788690">
    <w:abstractNumId w:val="13"/>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49"/>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19"/>
  </w:num>
  <w:num w:numId="17" w16cid:durableId="1529031027">
    <w:abstractNumId w:val="8"/>
  </w:num>
  <w:num w:numId="18" w16cid:durableId="568614617">
    <w:abstractNumId w:val="17"/>
  </w:num>
  <w:num w:numId="19" w16cid:durableId="1530605858">
    <w:abstractNumId w:val="44"/>
  </w:num>
  <w:num w:numId="20" w16cid:durableId="1328172586">
    <w:abstractNumId w:val="15"/>
  </w:num>
  <w:num w:numId="21" w16cid:durableId="184827816">
    <w:abstractNumId w:val="28"/>
  </w:num>
  <w:num w:numId="22" w16cid:durableId="1785346599">
    <w:abstractNumId w:val="34"/>
  </w:num>
  <w:num w:numId="23" w16cid:durableId="1294288901">
    <w:abstractNumId w:val="27"/>
  </w:num>
  <w:num w:numId="24" w16cid:durableId="1603957975">
    <w:abstractNumId w:val="46"/>
  </w:num>
  <w:num w:numId="25" w16cid:durableId="1659531047">
    <w:abstractNumId w:val="45"/>
  </w:num>
  <w:num w:numId="26" w16cid:durableId="752774403">
    <w:abstractNumId w:val="23"/>
  </w:num>
  <w:num w:numId="27" w16cid:durableId="347872198">
    <w:abstractNumId w:val="6"/>
  </w:num>
  <w:num w:numId="28" w16cid:durableId="537133110">
    <w:abstractNumId w:val="12"/>
  </w:num>
  <w:num w:numId="29" w16cid:durableId="1632318729">
    <w:abstractNumId w:val="47"/>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8"/>
  </w:num>
  <w:num w:numId="47" w16cid:durableId="342588554">
    <w:abstractNumId w:val="26"/>
  </w:num>
  <w:num w:numId="48" w16cid:durableId="318391343">
    <w:abstractNumId w:val="37"/>
  </w:num>
  <w:num w:numId="49" w16cid:durableId="1736707301">
    <w:abstractNumId w:val="42"/>
  </w:num>
  <w:num w:numId="50" w16cid:durableId="1079643148">
    <w:abstractNumId w:val="20"/>
  </w:num>
  <w:num w:numId="51" w16cid:durableId="414086496">
    <w:abstractNumId w:val="50"/>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2C20"/>
    <w:rsid w:val="000334B6"/>
    <w:rsid w:val="0003453A"/>
    <w:rsid w:val="00034EDB"/>
    <w:rsid w:val="00035464"/>
    <w:rsid w:val="000372C9"/>
    <w:rsid w:val="000403CE"/>
    <w:rsid w:val="00040F2E"/>
    <w:rsid w:val="00040F48"/>
    <w:rsid w:val="00041BB2"/>
    <w:rsid w:val="00042406"/>
    <w:rsid w:val="00042518"/>
    <w:rsid w:val="000428FA"/>
    <w:rsid w:val="000449A7"/>
    <w:rsid w:val="0004591F"/>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527D"/>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51C"/>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08AD"/>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C77"/>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6BB8"/>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42B6"/>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32"/>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669A"/>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1A7E"/>
    <w:rsid w:val="003C5BA2"/>
    <w:rsid w:val="003C5D67"/>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95C"/>
    <w:rsid w:val="00450AD7"/>
    <w:rsid w:val="00450C15"/>
    <w:rsid w:val="004514AB"/>
    <w:rsid w:val="004529C3"/>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2E2B"/>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832"/>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1EB7"/>
    <w:rsid w:val="005B355B"/>
    <w:rsid w:val="005B4539"/>
    <w:rsid w:val="005C327C"/>
    <w:rsid w:val="005C4420"/>
    <w:rsid w:val="005C5681"/>
    <w:rsid w:val="005C6A1D"/>
    <w:rsid w:val="005C765C"/>
    <w:rsid w:val="005C7DF6"/>
    <w:rsid w:val="005D02C9"/>
    <w:rsid w:val="005D1868"/>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2B3"/>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3BB"/>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40CD"/>
    <w:rsid w:val="00685A4F"/>
    <w:rsid w:val="006878AC"/>
    <w:rsid w:val="00690B2A"/>
    <w:rsid w:val="006936EF"/>
    <w:rsid w:val="006943E9"/>
    <w:rsid w:val="00694A4F"/>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0D39"/>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BE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68D4"/>
    <w:rsid w:val="00750A02"/>
    <w:rsid w:val="00752CD3"/>
    <w:rsid w:val="00753427"/>
    <w:rsid w:val="0075345B"/>
    <w:rsid w:val="0075419A"/>
    <w:rsid w:val="00754C24"/>
    <w:rsid w:val="007557DF"/>
    <w:rsid w:val="0075609B"/>
    <w:rsid w:val="00756808"/>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5BAA"/>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23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584"/>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5E6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0AF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67"/>
    <w:rsid w:val="009462FE"/>
    <w:rsid w:val="00946B7A"/>
    <w:rsid w:val="00946D94"/>
    <w:rsid w:val="009471BC"/>
    <w:rsid w:val="00947D8F"/>
    <w:rsid w:val="00950AB0"/>
    <w:rsid w:val="00950B68"/>
    <w:rsid w:val="00951BBE"/>
    <w:rsid w:val="0095260A"/>
    <w:rsid w:val="00952AB2"/>
    <w:rsid w:val="00952FEB"/>
    <w:rsid w:val="00953E75"/>
    <w:rsid w:val="009556EA"/>
    <w:rsid w:val="00955A95"/>
    <w:rsid w:val="00955BFF"/>
    <w:rsid w:val="00956390"/>
    <w:rsid w:val="0095736B"/>
    <w:rsid w:val="00960F14"/>
    <w:rsid w:val="009612D3"/>
    <w:rsid w:val="00962064"/>
    <w:rsid w:val="00962F14"/>
    <w:rsid w:val="00963A39"/>
    <w:rsid w:val="00963DC5"/>
    <w:rsid w:val="009649F8"/>
    <w:rsid w:val="00965F2B"/>
    <w:rsid w:val="00966139"/>
    <w:rsid w:val="00966160"/>
    <w:rsid w:val="00966C8D"/>
    <w:rsid w:val="0097030B"/>
    <w:rsid w:val="00970C82"/>
    <w:rsid w:val="00971C0E"/>
    <w:rsid w:val="00972C60"/>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97145"/>
    <w:rsid w:val="009A0291"/>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3C8E"/>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0A"/>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374F2"/>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0A78"/>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4A50"/>
    <w:rsid w:val="00AE5D21"/>
    <w:rsid w:val="00AE7467"/>
    <w:rsid w:val="00AE7C5F"/>
    <w:rsid w:val="00AF08A8"/>
    <w:rsid w:val="00AF2019"/>
    <w:rsid w:val="00AF26B7"/>
    <w:rsid w:val="00AF2C89"/>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1289"/>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9B"/>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44"/>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36D"/>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3B1D"/>
    <w:rsid w:val="00BB44CD"/>
    <w:rsid w:val="00BB58AA"/>
    <w:rsid w:val="00BB667C"/>
    <w:rsid w:val="00BB7964"/>
    <w:rsid w:val="00BC0309"/>
    <w:rsid w:val="00BC1037"/>
    <w:rsid w:val="00BC2F0B"/>
    <w:rsid w:val="00BC3206"/>
    <w:rsid w:val="00BC4832"/>
    <w:rsid w:val="00BC5451"/>
    <w:rsid w:val="00BC5744"/>
    <w:rsid w:val="00BC5B8A"/>
    <w:rsid w:val="00BD1613"/>
    <w:rsid w:val="00BD2608"/>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1E72"/>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663E"/>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7F5"/>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1F3"/>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10F6"/>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CF6477"/>
    <w:rsid w:val="00D004AD"/>
    <w:rsid w:val="00D01B92"/>
    <w:rsid w:val="00D02935"/>
    <w:rsid w:val="00D02C80"/>
    <w:rsid w:val="00D02D83"/>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0221"/>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120C"/>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585C"/>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378D"/>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8936517">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10121107/https://www.bankingsupervision.europa.eu/ecb/pub/pdf/ssm.climate_stress_test_report.20220708~2e3cc0999f.en.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113</Pages>
  <Words>23336</Words>
  <Characters>130218</Characters>
  <Application>Microsoft Office Word</Application>
  <DocSecurity>0</DocSecurity>
  <Lines>2456</Lines>
  <Paragraphs>843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152711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Kernevès, Camille</cp:lastModifiedBy>
  <cp:revision>2</cp:revision>
  <cp:lastPrinted>2025-03-21T00:14:00Z</cp:lastPrinted>
  <dcterms:created xsi:type="dcterms:W3CDTF">2025-07-22T22:07:00Z</dcterms:created>
  <dcterms:modified xsi:type="dcterms:W3CDTF">2025-07-22T22:07:00Z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